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209F1" w14:textId="77777777" w:rsidR="00C64B1B" w:rsidRPr="008A6CC5" w:rsidRDefault="00C64B1B" w:rsidP="00C64B1B">
      <w:pPr>
        <w:jc w:val="center"/>
        <w:rPr>
          <w:rFonts w:asciiTheme="minorHAnsi" w:hAnsiTheme="minorHAnsi" w:cstheme="minorHAnsi"/>
          <w:sz w:val="20"/>
          <w:szCs w:val="20"/>
        </w:rPr>
      </w:pPr>
    </w:p>
    <w:tbl>
      <w:tblPr>
        <w:tblW w:w="15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536"/>
        <w:gridCol w:w="2693"/>
        <w:gridCol w:w="4480"/>
      </w:tblGrid>
      <w:tr w:rsidR="00A06425" w:rsidRPr="008A6CC5" w14:paraId="076B912E" w14:textId="77777777" w:rsidTr="00265A15">
        <w:tc>
          <w:tcPr>
            <w:tcW w:w="15248" w:type="dxa"/>
            <w:gridSpan w:val="6"/>
            <w:vAlign w:val="center"/>
          </w:tcPr>
          <w:p w14:paraId="22934931" w14:textId="19CD7318" w:rsidR="00A06425" w:rsidRPr="008A6CC5" w:rsidRDefault="00A06425" w:rsidP="00B871B6">
            <w:pPr>
              <w:spacing w:before="120" w:after="120"/>
              <w:rPr>
                <w:rFonts w:asciiTheme="minorHAnsi" w:hAnsiTheme="minorHAnsi" w:cstheme="minorHAnsi"/>
                <w:b/>
                <w:i/>
                <w:sz w:val="20"/>
                <w:szCs w:val="20"/>
              </w:rPr>
            </w:pPr>
            <w:r w:rsidRPr="008A6CC5">
              <w:rPr>
                <w:rFonts w:asciiTheme="minorHAnsi" w:hAnsiTheme="minorHAnsi" w:cstheme="minorHAnsi"/>
                <w:b/>
                <w:i/>
                <w:sz w:val="20"/>
                <w:szCs w:val="20"/>
              </w:rPr>
              <w:t>Nazwa dokumentu:</w:t>
            </w:r>
            <w:r w:rsidR="000248B2" w:rsidRPr="008A6CC5">
              <w:rPr>
                <w:rFonts w:asciiTheme="minorHAnsi" w:hAnsiTheme="minorHAnsi" w:cstheme="minorHAnsi"/>
                <w:b/>
                <w:i/>
                <w:sz w:val="20"/>
                <w:szCs w:val="20"/>
              </w:rPr>
              <w:t xml:space="preserve"> p</w:t>
            </w:r>
            <w:r w:rsidR="00282DD7" w:rsidRPr="008A6CC5">
              <w:rPr>
                <w:rFonts w:asciiTheme="minorHAnsi" w:hAnsiTheme="minorHAnsi" w:cstheme="minorHAnsi"/>
                <w:b/>
                <w:i/>
                <w:sz w:val="20"/>
                <w:szCs w:val="20"/>
              </w:rPr>
              <w:t>rojekt ustawy o zmianie ustawy - Kodeks cywilny oraz niektórych innych ustaw (UD30)</w:t>
            </w:r>
          </w:p>
        </w:tc>
      </w:tr>
      <w:tr w:rsidR="00A06425" w:rsidRPr="008A6CC5" w14:paraId="2E85074F" w14:textId="77777777" w:rsidTr="000E4DE8">
        <w:tc>
          <w:tcPr>
            <w:tcW w:w="562" w:type="dxa"/>
            <w:vAlign w:val="center"/>
          </w:tcPr>
          <w:p w14:paraId="44AD43EA" w14:textId="77777777" w:rsidR="00A06425" w:rsidRPr="008A6CC5" w:rsidRDefault="00A06425" w:rsidP="004D086F">
            <w:pPr>
              <w:jc w:val="center"/>
              <w:rPr>
                <w:rFonts w:asciiTheme="minorHAnsi" w:hAnsiTheme="minorHAnsi" w:cstheme="minorHAnsi"/>
                <w:b/>
                <w:sz w:val="20"/>
                <w:szCs w:val="20"/>
              </w:rPr>
            </w:pPr>
            <w:r w:rsidRPr="008A6CC5">
              <w:rPr>
                <w:rFonts w:asciiTheme="minorHAnsi" w:hAnsiTheme="minorHAnsi" w:cstheme="minorHAnsi"/>
                <w:b/>
                <w:sz w:val="20"/>
                <w:szCs w:val="20"/>
              </w:rPr>
              <w:t>Lp.</w:t>
            </w:r>
          </w:p>
        </w:tc>
        <w:tc>
          <w:tcPr>
            <w:tcW w:w="1134" w:type="dxa"/>
            <w:vAlign w:val="center"/>
          </w:tcPr>
          <w:p w14:paraId="4613364F" w14:textId="77777777" w:rsidR="00A06425" w:rsidRPr="008A6CC5" w:rsidRDefault="00A06425" w:rsidP="004D086F">
            <w:pPr>
              <w:jc w:val="center"/>
              <w:rPr>
                <w:rFonts w:asciiTheme="minorHAnsi" w:hAnsiTheme="minorHAnsi" w:cstheme="minorHAnsi"/>
                <w:b/>
                <w:sz w:val="20"/>
                <w:szCs w:val="20"/>
              </w:rPr>
            </w:pPr>
            <w:r w:rsidRPr="008A6CC5">
              <w:rPr>
                <w:rFonts w:asciiTheme="minorHAnsi" w:hAnsiTheme="minorHAnsi" w:cstheme="minorHAnsi"/>
                <w:b/>
                <w:sz w:val="20"/>
                <w:szCs w:val="20"/>
              </w:rPr>
              <w:t>Organ wnoszący uwagi</w:t>
            </w:r>
          </w:p>
        </w:tc>
        <w:tc>
          <w:tcPr>
            <w:tcW w:w="1843" w:type="dxa"/>
            <w:vAlign w:val="center"/>
          </w:tcPr>
          <w:p w14:paraId="6A17476B" w14:textId="77777777" w:rsidR="00A06425" w:rsidRPr="008A6CC5" w:rsidRDefault="00A06425" w:rsidP="004D086F">
            <w:pPr>
              <w:jc w:val="center"/>
              <w:rPr>
                <w:rFonts w:asciiTheme="minorHAnsi" w:hAnsiTheme="minorHAnsi" w:cstheme="minorHAnsi"/>
                <w:b/>
                <w:sz w:val="20"/>
                <w:szCs w:val="20"/>
              </w:rPr>
            </w:pPr>
            <w:r w:rsidRPr="008A6CC5">
              <w:rPr>
                <w:rFonts w:asciiTheme="minorHAnsi" w:hAnsiTheme="minorHAnsi" w:cstheme="minorHAnsi"/>
                <w:b/>
                <w:sz w:val="20"/>
                <w:szCs w:val="20"/>
              </w:rPr>
              <w:t>Jednostka redakcyjna, do której wnoszone są uwagi</w:t>
            </w:r>
          </w:p>
        </w:tc>
        <w:tc>
          <w:tcPr>
            <w:tcW w:w="4536" w:type="dxa"/>
            <w:vAlign w:val="center"/>
          </w:tcPr>
          <w:p w14:paraId="1A1BC218" w14:textId="77777777" w:rsidR="00A06425" w:rsidRPr="008A6CC5" w:rsidRDefault="00A06425" w:rsidP="004D086F">
            <w:pPr>
              <w:jc w:val="center"/>
              <w:rPr>
                <w:rFonts w:asciiTheme="minorHAnsi" w:hAnsiTheme="minorHAnsi" w:cstheme="minorHAnsi"/>
                <w:b/>
                <w:sz w:val="20"/>
                <w:szCs w:val="20"/>
              </w:rPr>
            </w:pPr>
            <w:r w:rsidRPr="008A6CC5">
              <w:rPr>
                <w:rFonts w:asciiTheme="minorHAnsi" w:hAnsiTheme="minorHAnsi" w:cstheme="minorHAnsi"/>
                <w:b/>
                <w:sz w:val="20"/>
                <w:szCs w:val="20"/>
              </w:rPr>
              <w:t>Treść uwagi</w:t>
            </w:r>
          </w:p>
        </w:tc>
        <w:tc>
          <w:tcPr>
            <w:tcW w:w="2693" w:type="dxa"/>
            <w:vAlign w:val="center"/>
          </w:tcPr>
          <w:p w14:paraId="35F1CD9D" w14:textId="77777777" w:rsidR="00A06425" w:rsidRPr="008A6CC5" w:rsidRDefault="00A06425" w:rsidP="004D086F">
            <w:pPr>
              <w:jc w:val="center"/>
              <w:rPr>
                <w:rFonts w:asciiTheme="minorHAnsi" w:hAnsiTheme="minorHAnsi" w:cstheme="minorHAnsi"/>
                <w:b/>
                <w:sz w:val="20"/>
                <w:szCs w:val="20"/>
              </w:rPr>
            </w:pPr>
            <w:r w:rsidRPr="008A6CC5">
              <w:rPr>
                <w:rFonts w:asciiTheme="minorHAnsi" w:hAnsiTheme="minorHAnsi" w:cstheme="minorHAnsi"/>
                <w:b/>
                <w:sz w:val="20"/>
                <w:szCs w:val="20"/>
              </w:rPr>
              <w:t>Propozycja zmian zapisu</w:t>
            </w:r>
          </w:p>
        </w:tc>
        <w:tc>
          <w:tcPr>
            <w:tcW w:w="4480" w:type="dxa"/>
            <w:vAlign w:val="center"/>
          </w:tcPr>
          <w:p w14:paraId="1869D109" w14:textId="77777777" w:rsidR="00A06425" w:rsidRPr="008A6CC5" w:rsidRDefault="00A06425" w:rsidP="00A06425">
            <w:pPr>
              <w:jc w:val="center"/>
              <w:rPr>
                <w:rFonts w:asciiTheme="minorHAnsi" w:hAnsiTheme="minorHAnsi" w:cstheme="minorHAnsi"/>
                <w:b/>
                <w:sz w:val="20"/>
                <w:szCs w:val="20"/>
              </w:rPr>
            </w:pPr>
            <w:r w:rsidRPr="008A6CC5">
              <w:rPr>
                <w:rFonts w:asciiTheme="minorHAnsi" w:hAnsiTheme="minorHAnsi" w:cstheme="minorHAnsi"/>
                <w:b/>
                <w:sz w:val="20"/>
                <w:szCs w:val="20"/>
              </w:rPr>
              <w:t>Odniesienie do uwagi</w:t>
            </w:r>
          </w:p>
        </w:tc>
      </w:tr>
      <w:tr w:rsidR="00B40580" w:rsidRPr="008A6CC5" w14:paraId="3C7FDE28" w14:textId="77777777" w:rsidTr="000E4DE8">
        <w:tc>
          <w:tcPr>
            <w:tcW w:w="562" w:type="dxa"/>
          </w:tcPr>
          <w:p w14:paraId="40762EA7" w14:textId="77777777" w:rsidR="00B40580" w:rsidRPr="008A6CC5" w:rsidRDefault="00B40580" w:rsidP="00B40580">
            <w:pPr>
              <w:spacing w:before="120" w:after="120"/>
              <w:jc w:val="center"/>
              <w:rPr>
                <w:rFonts w:asciiTheme="minorHAnsi" w:hAnsiTheme="minorHAnsi" w:cstheme="minorHAnsi"/>
                <w:b/>
                <w:sz w:val="20"/>
                <w:szCs w:val="20"/>
              </w:rPr>
            </w:pPr>
            <w:r w:rsidRPr="008A6CC5">
              <w:rPr>
                <w:rFonts w:asciiTheme="minorHAnsi" w:hAnsiTheme="minorHAnsi" w:cstheme="minorHAnsi"/>
                <w:b/>
                <w:sz w:val="20"/>
                <w:szCs w:val="20"/>
              </w:rPr>
              <w:t>1</w:t>
            </w:r>
          </w:p>
        </w:tc>
        <w:tc>
          <w:tcPr>
            <w:tcW w:w="1134" w:type="dxa"/>
          </w:tcPr>
          <w:p w14:paraId="10E8850D" w14:textId="0D5DFD32" w:rsidR="00B40580" w:rsidRPr="008A6CC5" w:rsidRDefault="00B40580" w:rsidP="00B40580">
            <w:pPr>
              <w:spacing w:before="60" w:after="60"/>
              <w:jc w:val="center"/>
              <w:rPr>
                <w:rFonts w:asciiTheme="minorHAnsi" w:hAnsiTheme="minorHAnsi" w:cstheme="minorHAnsi"/>
                <w:b/>
                <w:sz w:val="20"/>
                <w:szCs w:val="20"/>
              </w:rPr>
            </w:pPr>
            <w:r w:rsidRPr="008A6CC5">
              <w:rPr>
                <w:rFonts w:asciiTheme="minorHAnsi" w:hAnsiTheme="minorHAnsi" w:cstheme="minorHAnsi"/>
                <w:b/>
                <w:sz w:val="20"/>
                <w:szCs w:val="20"/>
              </w:rPr>
              <w:t xml:space="preserve">MSWiA </w:t>
            </w:r>
          </w:p>
        </w:tc>
        <w:tc>
          <w:tcPr>
            <w:tcW w:w="1843" w:type="dxa"/>
          </w:tcPr>
          <w:p w14:paraId="3B4F5720" w14:textId="1807E3B9" w:rsidR="00B40580" w:rsidRPr="008A6CC5" w:rsidRDefault="00B40580" w:rsidP="00B40580">
            <w:pPr>
              <w:jc w:val="center"/>
              <w:rPr>
                <w:rFonts w:asciiTheme="minorHAnsi" w:hAnsiTheme="minorHAnsi" w:cstheme="minorHAnsi"/>
                <w:sz w:val="20"/>
                <w:szCs w:val="20"/>
              </w:rPr>
            </w:pPr>
            <w:r w:rsidRPr="008A6CC5">
              <w:rPr>
                <w:rFonts w:asciiTheme="minorHAnsi" w:hAnsiTheme="minorHAnsi" w:cstheme="minorHAnsi"/>
                <w:sz w:val="20"/>
                <w:szCs w:val="20"/>
              </w:rPr>
              <w:t>Art. 1 pkt 5 projektu</w:t>
            </w:r>
          </w:p>
          <w:p w14:paraId="43450908" w14:textId="6403F77E" w:rsidR="00B40580" w:rsidRPr="008A6CC5" w:rsidRDefault="00B40580" w:rsidP="00B40580">
            <w:pPr>
              <w:jc w:val="center"/>
              <w:rPr>
                <w:rFonts w:asciiTheme="minorHAnsi" w:hAnsiTheme="minorHAnsi" w:cstheme="minorHAnsi"/>
                <w:sz w:val="20"/>
                <w:szCs w:val="20"/>
              </w:rPr>
            </w:pPr>
            <w:r w:rsidRPr="008A6CC5">
              <w:rPr>
                <w:rFonts w:asciiTheme="minorHAnsi" w:hAnsiTheme="minorHAnsi" w:cstheme="minorHAnsi"/>
                <w:sz w:val="20"/>
                <w:szCs w:val="20"/>
              </w:rPr>
              <w:t>(dot.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br/>
              <w:t>§ 1 k</w:t>
            </w:r>
            <w:r w:rsidR="00D8524F">
              <w:rPr>
                <w:rFonts w:asciiTheme="minorHAnsi" w:hAnsiTheme="minorHAnsi" w:cstheme="minorHAnsi"/>
                <w:sz w:val="20"/>
                <w:szCs w:val="20"/>
              </w:rPr>
              <w:t>.</w:t>
            </w:r>
            <w:r w:rsidRPr="008A6CC5">
              <w:rPr>
                <w:rFonts w:asciiTheme="minorHAnsi" w:hAnsiTheme="minorHAnsi" w:cstheme="minorHAnsi"/>
                <w:sz w:val="20"/>
                <w:szCs w:val="20"/>
              </w:rPr>
              <w:t>c</w:t>
            </w:r>
            <w:r w:rsidR="00D8524F">
              <w:rPr>
                <w:rFonts w:asciiTheme="minorHAnsi" w:hAnsiTheme="minorHAnsi" w:cstheme="minorHAnsi"/>
                <w:sz w:val="20"/>
                <w:szCs w:val="20"/>
              </w:rPr>
              <w:t>.</w:t>
            </w:r>
            <w:r w:rsidRPr="008A6CC5">
              <w:rPr>
                <w:rFonts w:asciiTheme="minorHAnsi" w:hAnsiTheme="minorHAnsi" w:cstheme="minorHAnsi"/>
                <w:sz w:val="20"/>
                <w:szCs w:val="20"/>
              </w:rPr>
              <w:t>)</w:t>
            </w:r>
          </w:p>
        </w:tc>
        <w:tc>
          <w:tcPr>
            <w:tcW w:w="4536" w:type="dxa"/>
          </w:tcPr>
          <w:p w14:paraId="5AB44A28" w14:textId="77777777"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 xml:space="preserve">W projekcie ustawy pominięto funkcjonariuszy Straży Granicznej, którzy w świetle przepisu art. 33a ust. 2 ustawy z dnia 12 października 1990 r. o Straży Granicznej, w dniu ogłoszenia mobilizacji lub w dniu, w którym rozpoczyna się czas wojny, określonym przez Prezydenta Rzeczypospolitej Polskiej na podstawie art. 24 ust. 1 pkt 7 ustawy, o której mowa w ust. 1, stają się z mocy prawa funkcjonariuszami pełniącymi służbę w czasie wojny i pozostają w tej służbie do czasu zwolnienia. Funkcjonariusz Straży Granicznej, nie posiada statusu żołnierza ani funkcjonariusza służby specjalnej, ani inna osoba zaangażowana w działania zbrojne. To jest inny status funkcjonariusza, który nie wpisuje się </w:t>
            </w:r>
            <w:r w:rsidRPr="008A6CC5">
              <w:rPr>
                <w:rFonts w:asciiTheme="minorHAnsi" w:hAnsiTheme="minorHAnsi" w:cstheme="minorHAnsi"/>
                <w:sz w:val="20"/>
                <w:szCs w:val="20"/>
              </w:rPr>
              <w:br/>
              <w:t>w profile osób, o których mowa w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t xml:space="preserve"> § 1 projektu ustawy. </w:t>
            </w:r>
          </w:p>
          <w:p w14:paraId="4A78526B" w14:textId="09C20C59"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Wprawdzie w zaproponowanym brzmieniu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t xml:space="preserve"> § 1 mowa jest o osobach pełniących służbę w jednostkach zmilitaryzowanych, niemniej jednak, militaryzacja Straży Granicznej, stosownie do brzmienia art. 33a ust. 1 ustawy z dnia 12 października 1990 r. o Straży Granicznej, nie ma postaci obligatoryjnej lecz fakultatywną. W konsekwencji w przypadku nie objęcia Straży Granicznej militaryzacją, funkcjonariuszowi Straży Granicznej przebywającemu na obszarze objętym działaniami wojennymi albo w niewoli, nie będzie przysługiwała prerogatywa sporządzenia testamentu wojskowego.</w:t>
            </w:r>
          </w:p>
        </w:tc>
        <w:tc>
          <w:tcPr>
            <w:tcW w:w="2693" w:type="dxa"/>
          </w:tcPr>
          <w:p w14:paraId="2EF34F1B" w14:textId="643F61F8"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Propozycja nadania art. 954</w:t>
            </w:r>
            <w:r w:rsidRPr="008A6CC5">
              <w:rPr>
                <w:rStyle w:val="IGindeksgrny"/>
                <w:rFonts w:asciiTheme="minorHAnsi" w:hAnsiTheme="minorHAnsi" w:cstheme="minorHAnsi"/>
                <w:sz w:val="20"/>
                <w:szCs w:val="20"/>
                <w:specVanish w:val="0"/>
              </w:rPr>
              <w:t xml:space="preserve">1 </w:t>
            </w:r>
            <w:r w:rsidRPr="008A6CC5">
              <w:rPr>
                <w:rFonts w:asciiTheme="minorHAnsi" w:hAnsiTheme="minorHAnsi" w:cstheme="minorHAnsi"/>
                <w:sz w:val="20"/>
                <w:szCs w:val="20"/>
              </w:rPr>
              <w:t xml:space="preserve">§ 1 brzmienia: </w:t>
            </w:r>
          </w:p>
          <w:p w14:paraId="04FEBCE6" w14:textId="34DE9546" w:rsidR="00B40580" w:rsidRPr="008A6CC5" w:rsidRDefault="00B40580" w:rsidP="00B40580">
            <w:pPr>
              <w:jc w:val="both"/>
              <w:rPr>
                <w:rFonts w:asciiTheme="minorHAnsi" w:hAnsiTheme="minorHAnsi" w:cstheme="minorHAnsi"/>
                <w:i/>
                <w:sz w:val="20"/>
                <w:szCs w:val="20"/>
              </w:rPr>
            </w:pPr>
            <w:r w:rsidRPr="008A6CC5">
              <w:rPr>
                <w:rFonts w:asciiTheme="minorHAnsi" w:hAnsiTheme="minorHAnsi" w:cstheme="minorHAnsi"/>
                <w:sz w:val="20"/>
                <w:szCs w:val="20"/>
              </w:rPr>
              <w:t xml:space="preserve"> </w:t>
            </w:r>
            <w:r w:rsidRPr="008A6CC5">
              <w:rPr>
                <w:rFonts w:asciiTheme="minorHAnsi" w:hAnsiTheme="minorHAnsi" w:cstheme="minorHAnsi"/>
                <w:i/>
                <w:sz w:val="20"/>
                <w:szCs w:val="20"/>
              </w:rPr>
              <w:t xml:space="preserve"> „W czasie przebywania na obszarze objętym działaniami zbrojnymi lub w niewoli, jeżeli sporządzenie testamentu </w:t>
            </w:r>
            <w:r w:rsidRPr="008A6CC5">
              <w:rPr>
                <w:rFonts w:asciiTheme="minorHAnsi" w:hAnsiTheme="minorHAnsi" w:cstheme="minorHAnsi"/>
                <w:i/>
                <w:sz w:val="20"/>
                <w:szCs w:val="20"/>
              </w:rPr>
              <w:br/>
              <w:t>w formie aktu notarialnego jest niemożliwe albo nadmiernie utrudnione, żołnierz Sił Zbrojnych Rzeczypospolitej Polskiej, osoba pełniąca służbę w jednostkach zmilitaryzowanych, funkcjonariusz służby specjalnej, funkcjonariusz Straży Granicznej oraz inna osoba zaangażowana w działania zbrojne, może sporządzić testament wojskowy.”.</w:t>
            </w:r>
          </w:p>
        </w:tc>
        <w:tc>
          <w:tcPr>
            <w:tcW w:w="4480" w:type="dxa"/>
          </w:tcPr>
          <w:p w14:paraId="0674777E" w14:textId="77777777" w:rsidR="00E22B3D"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Projektowana ustawa nie pomija funkcjonariuszy Straży Granicznej, gdyż już teraz są oni objęci hipotezą projektowanego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t xml:space="preserve"> § 1 k.c. Niczego nie zmienia w tym zakresie brak ich „literalnego” wymienienia w treści przepisu. Projektowany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t xml:space="preserve"> § 1 k.c. wskazuje wyraźnie, że testament wojskowy będzie mógł sporządzić nie tylko żołnierz Sił Zbrojnych Rzeczypospolitej Polskiej, lecz także „osoba pełniąca służbę w jednostkach zmilitaryzowanych” oraz „inna osoba zaangażowana w działania zbrojne”. Projektowana ustawa nie definiuje celowo żadnego z tych pojęć. </w:t>
            </w:r>
          </w:p>
          <w:p w14:paraId="33056A00" w14:textId="22C7849D"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Uzasadnienie ustawy wskazuje natomiast, że pojęcie „osób pełniących służbę w jednostkach zmilitaryzowanych” powinno być rozumiane tak samo jak w przepisach ustawy z dnia 11 marca 2022</w:t>
            </w:r>
            <w:r w:rsidR="00E22B3D">
              <w:rPr>
                <w:rFonts w:asciiTheme="minorHAnsi" w:hAnsiTheme="minorHAnsi" w:cstheme="minorHAnsi"/>
                <w:sz w:val="20"/>
                <w:szCs w:val="20"/>
              </w:rPr>
              <w:t> </w:t>
            </w:r>
            <w:r w:rsidRPr="008A6CC5">
              <w:rPr>
                <w:rFonts w:asciiTheme="minorHAnsi" w:hAnsiTheme="minorHAnsi" w:cstheme="minorHAnsi"/>
                <w:sz w:val="20"/>
                <w:szCs w:val="20"/>
              </w:rPr>
              <w:t>r. o obronie Ojczyzny (Dz. U. z 2025 r. poz. 825</w:t>
            </w:r>
            <w:r w:rsidR="00E22B3D">
              <w:rPr>
                <w:rFonts w:asciiTheme="minorHAnsi" w:hAnsiTheme="minorHAnsi" w:cstheme="minorHAnsi"/>
                <w:sz w:val="20"/>
                <w:szCs w:val="20"/>
              </w:rPr>
              <w:t>,</w:t>
            </w:r>
            <w:r w:rsidRPr="008A6CC5">
              <w:rPr>
                <w:rFonts w:asciiTheme="minorHAnsi" w:hAnsiTheme="minorHAnsi" w:cstheme="minorHAnsi"/>
                <w:sz w:val="20"/>
                <w:szCs w:val="20"/>
              </w:rPr>
              <w:t xml:space="preserve"> z </w:t>
            </w:r>
            <w:proofErr w:type="spellStart"/>
            <w:r w:rsidRPr="008A6CC5">
              <w:rPr>
                <w:rFonts w:asciiTheme="minorHAnsi" w:hAnsiTheme="minorHAnsi" w:cstheme="minorHAnsi"/>
                <w:sz w:val="20"/>
                <w:szCs w:val="20"/>
              </w:rPr>
              <w:t>późn</w:t>
            </w:r>
            <w:proofErr w:type="spellEnd"/>
            <w:r w:rsidRPr="008A6CC5">
              <w:rPr>
                <w:rFonts w:asciiTheme="minorHAnsi" w:hAnsiTheme="minorHAnsi" w:cstheme="minorHAnsi"/>
                <w:sz w:val="20"/>
                <w:szCs w:val="20"/>
              </w:rPr>
              <w:t>. zm.). Osobami, które będą mogły sporządzić testament wojskowy w okolicznościach opisanych w art. 954</w:t>
            </w:r>
            <w:r w:rsidRPr="008A6CC5">
              <w:rPr>
                <w:rFonts w:asciiTheme="minorHAnsi" w:hAnsiTheme="minorHAnsi" w:cstheme="minorHAnsi"/>
                <w:sz w:val="20"/>
                <w:szCs w:val="20"/>
                <w:vertAlign w:val="superscript"/>
              </w:rPr>
              <w:t>1</w:t>
            </w:r>
            <w:r w:rsidRPr="008A6CC5">
              <w:rPr>
                <w:rFonts w:asciiTheme="minorHAnsi" w:hAnsiTheme="minorHAnsi" w:cstheme="minorHAnsi"/>
                <w:sz w:val="20"/>
                <w:szCs w:val="20"/>
              </w:rPr>
              <w:t xml:space="preserve"> § 1 są również funkcjonariusze Straży Granicznej. Pojęcie „innych osób zaangażowanych w działania zbrojne” ma obejmować swoim zakresem wszystkie osoby objęte obecnymi przepisami rozporządzenia Ministra Obrony Narodowej z 1965 r., a także dodatkowo podmioty, na które zwrócono uwagę w opiniach, jakie do pierwotnego projektu ustawy wpłynęły w toku konsultacji społecznych. Pojęcie to obejmie więc m.in. członków służb pomocniczych i inne osoby wykonujące świadczenia osobiste na rzecz Sił Zbrojnych Rzeczypospolitej Polskiej, a nawet osoby cywilne, jeżeli znajdują się na obszarze będącym pod wyłącznym zarządem organów wojskowych albo na jednostce pływającej Marynarki Wojennej lub na statku powietrznym należącym do Sił Zbrojnych Rzeczypospolitej Polskiej. W tym świetle nie powinno ulegać wątpliwościom, że </w:t>
            </w:r>
            <w:r w:rsidRPr="008A6CC5">
              <w:rPr>
                <w:rFonts w:asciiTheme="minorHAnsi" w:hAnsiTheme="minorHAnsi" w:cstheme="minorHAnsi"/>
                <w:sz w:val="20"/>
                <w:szCs w:val="20"/>
              </w:rPr>
              <w:lastRenderedPageBreak/>
              <w:t>funkcjonariusze Straży Granicznej mogą być także takimi podmiotami – niezależnie od tego, czy dojdzie, czy też nie do militaryzacji Straży Granicznej na podstawie art. 33a ust. 1 ustawy z dnia 12 października 1990 r. o Straży Granicznej (Dz. U. z 2026 r. poz. 367</w:t>
            </w:r>
            <w:r w:rsidR="00E22B3D">
              <w:rPr>
                <w:rFonts w:asciiTheme="minorHAnsi" w:hAnsiTheme="minorHAnsi" w:cstheme="minorHAnsi"/>
                <w:sz w:val="20"/>
                <w:szCs w:val="20"/>
              </w:rPr>
              <w:t>,</w:t>
            </w:r>
            <w:r w:rsidRPr="008A6CC5">
              <w:rPr>
                <w:rFonts w:asciiTheme="minorHAnsi" w:hAnsiTheme="minorHAnsi" w:cstheme="minorHAnsi"/>
                <w:sz w:val="20"/>
                <w:szCs w:val="20"/>
              </w:rPr>
              <w:t xml:space="preserve"> z </w:t>
            </w:r>
            <w:proofErr w:type="spellStart"/>
            <w:r w:rsidRPr="008A6CC5">
              <w:rPr>
                <w:rFonts w:asciiTheme="minorHAnsi" w:hAnsiTheme="minorHAnsi" w:cstheme="minorHAnsi"/>
                <w:sz w:val="20"/>
                <w:szCs w:val="20"/>
              </w:rPr>
              <w:t>późn</w:t>
            </w:r>
            <w:proofErr w:type="spellEnd"/>
            <w:r w:rsidRPr="008A6CC5">
              <w:rPr>
                <w:rFonts w:asciiTheme="minorHAnsi" w:hAnsiTheme="minorHAnsi" w:cstheme="minorHAnsi"/>
                <w:sz w:val="20"/>
                <w:szCs w:val="20"/>
              </w:rPr>
              <w:t xml:space="preserve">. zm.).  </w:t>
            </w:r>
          </w:p>
          <w:p w14:paraId="71C058FD" w14:textId="77777777"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 xml:space="preserve">Ponadto wyliczenie uczynione w uzasadnieniu ustawy celowo nie ma charakteru enumeratywnego, gdyż pojęcie „innych osób zaangażowanych w działania zbrojne” w tym także pojęcie „zaangażowania w działania zbrojne”, powinno być interpretowane elastycznie w sposób dostosowany do okoliczności danego przypadku i zmieniających się form, w jakich toczą się nowoczesne działania zbrojne (np. tzw. wojny hybrydowej na granicach Rzeczypospolitej Polskiej). W razie potrzeby może być też doprecyzowane przez orzecznictwo. </w:t>
            </w:r>
          </w:p>
          <w:p w14:paraId="7B22DDB0" w14:textId="77777777"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Podkreślić należy przy tym, że sporządzenie testamentu w formie wojskowej nie jest uzależnione jedynie od formalnego statusu przynależności do Sił Zbrojnych Rzeczypospolitej Polskiej lub jednostek zmilitaryzowanych, lecz przede wszystkim od przebywania na obszarze objętym działaniami zbrojnymi lub w niewoli. Stąd nawet sam fakt militaryzacji Straży Granicznej na podstawie art. 33a ust. 1 ustawy o Straży Granicznej nie będzie więc umożliwiał funkcjonariuszom Straży Granicznej sporządzenia testamentu wojskowego, jeżeli w danym przypadku nie będą przebywali na obszarze objętym działaniami zbrojnymi lub w niewoli.</w:t>
            </w:r>
          </w:p>
          <w:p w14:paraId="3BA177DB" w14:textId="039FABD7" w:rsidR="00B40580" w:rsidRPr="008A6CC5" w:rsidRDefault="00B40580" w:rsidP="00B40580">
            <w:pPr>
              <w:jc w:val="both"/>
              <w:rPr>
                <w:rFonts w:asciiTheme="minorHAnsi" w:hAnsiTheme="minorHAnsi" w:cstheme="minorHAnsi"/>
                <w:sz w:val="20"/>
                <w:szCs w:val="20"/>
              </w:rPr>
            </w:pPr>
            <w:r w:rsidRPr="008A6CC5">
              <w:rPr>
                <w:rFonts w:asciiTheme="minorHAnsi" w:hAnsiTheme="minorHAnsi" w:cstheme="minorHAnsi"/>
                <w:sz w:val="20"/>
                <w:szCs w:val="20"/>
              </w:rPr>
              <w:t xml:space="preserve">Nie należy również zapominać, że każda osoba – w tym funkcjonariusz Straży Granicznej może sporządzić testament w zwykłej formie w każdym czasie. </w:t>
            </w:r>
          </w:p>
        </w:tc>
      </w:tr>
      <w:tr w:rsidR="00A06425" w:rsidRPr="008A6CC5" w14:paraId="10CB403C" w14:textId="77777777" w:rsidTr="000E4DE8">
        <w:tc>
          <w:tcPr>
            <w:tcW w:w="562" w:type="dxa"/>
          </w:tcPr>
          <w:p w14:paraId="107A76F5" w14:textId="472E82D8" w:rsidR="00A06425" w:rsidRPr="008A6CC5" w:rsidRDefault="00A06425" w:rsidP="00A06425">
            <w:pPr>
              <w:spacing w:before="120" w:after="120"/>
              <w:jc w:val="center"/>
              <w:rPr>
                <w:rFonts w:asciiTheme="minorHAnsi" w:hAnsiTheme="minorHAnsi" w:cstheme="minorHAnsi"/>
                <w:b/>
                <w:sz w:val="20"/>
                <w:szCs w:val="20"/>
              </w:rPr>
            </w:pPr>
            <w:r w:rsidRPr="008A6CC5">
              <w:rPr>
                <w:rFonts w:asciiTheme="minorHAnsi" w:hAnsiTheme="minorHAnsi" w:cstheme="minorHAnsi"/>
                <w:b/>
                <w:sz w:val="20"/>
                <w:szCs w:val="20"/>
              </w:rPr>
              <w:lastRenderedPageBreak/>
              <w:t>2</w:t>
            </w:r>
          </w:p>
        </w:tc>
        <w:tc>
          <w:tcPr>
            <w:tcW w:w="1134" w:type="dxa"/>
          </w:tcPr>
          <w:p w14:paraId="453240FD" w14:textId="0526A378" w:rsidR="00A06425" w:rsidRPr="008A6CC5" w:rsidRDefault="000248B2" w:rsidP="004D086F">
            <w:pPr>
              <w:spacing w:before="60" w:after="60"/>
              <w:jc w:val="center"/>
              <w:rPr>
                <w:rFonts w:asciiTheme="minorHAnsi" w:hAnsiTheme="minorHAnsi" w:cstheme="minorHAnsi"/>
                <w:b/>
                <w:sz w:val="20"/>
                <w:szCs w:val="20"/>
              </w:rPr>
            </w:pPr>
            <w:r w:rsidRPr="008A6CC5">
              <w:rPr>
                <w:rFonts w:asciiTheme="minorHAnsi" w:hAnsiTheme="minorHAnsi" w:cstheme="minorHAnsi"/>
                <w:b/>
                <w:sz w:val="20"/>
                <w:szCs w:val="20"/>
              </w:rPr>
              <w:t xml:space="preserve">MSWiA </w:t>
            </w:r>
          </w:p>
        </w:tc>
        <w:tc>
          <w:tcPr>
            <w:tcW w:w="1843" w:type="dxa"/>
          </w:tcPr>
          <w:p w14:paraId="4A96FEF6" w14:textId="33B93CBE" w:rsidR="007B7338" w:rsidRPr="008A6CC5" w:rsidRDefault="00C9296A" w:rsidP="004D086F">
            <w:pPr>
              <w:jc w:val="center"/>
              <w:rPr>
                <w:rFonts w:asciiTheme="minorHAnsi" w:hAnsiTheme="minorHAnsi" w:cstheme="minorHAnsi"/>
                <w:sz w:val="20"/>
                <w:szCs w:val="20"/>
              </w:rPr>
            </w:pPr>
            <w:r w:rsidRPr="008A6CC5">
              <w:rPr>
                <w:rFonts w:asciiTheme="minorHAnsi" w:hAnsiTheme="minorHAnsi" w:cstheme="minorHAnsi"/>
                <w:sz w:val="20"/>
                <w:szCs w:val="20"/>
              </w:rPr>
              <w:t>A</w:t>
            </w:r>
            <w:r w:rsidR="007B7338" w:rsidRPr="008A6CC5">
              <w:rPr>
                <w:rFonts w:asciiTheme="minorHAnsi" w:hAnsiTheme="minorHAnsi" w:cstheme="minorHAnsi"/>
                <w:sz w:val="20"/>
                <w:szCs w:val="20"/>
              </w:rPr>
              <w:t>rt. 1 pkt 1 projektu</w:t>
            </w:r>
          </w:p>
          <w:p w14:paraId="33F3F54A" w14:textId="1A4BFA0E" w:rsidR="00A06425" w:rsidRPr="008A6CC5" w:rsidRDefault="007B7338" w:rsidP="007B7338">
            <w:pPr>
              <w:jc w:val="center"/>
              <w:rPr>
                <w:rFonts w:asciiTheme="minorHAnsi" w:hAnsiTheme="minorHAnsi" w:cstheme="minorHAnsi"/>
                <w:sz w:val="20"/>
                <w:szCs w:val="20"/>
              </w:rPr>
            </w:pPr>
            <w:r w:rsidRPr="008A6CC5">
              <w:rPr>
                <w:rFonts w:asciiTheme="minorHAnsi" w:hAnsiTheme="minorHAnsi" w:cstheme="minorHAnsi"/>
                <w:sz w:val="20"/>
                <w:szCs w:val="20"/>
              </w:rPr>
              <w:t>(dot. a</w:t>
            </w:r>
            <w:r w:rsidR="00A044DA" w:rsidRPr="008A6CC5">
              <w:rPr>
                <w:rFonts w:asciiTheme="minorHAnsi" w:hAnsiTheme="minorHAnsi" w:cstheme="minorHAnsi"/>
                <w:sz w:val="20"/>
                <w:szCs w:val="20"/>
              </w:rPr>
              <w:t>rt. 95</w:t>
            </w:r>
            <w:r w:rsidR="00154DB3" w:rsidRPr="008A6CC5">
              <w:rPr>
                <w:rFonts w:asciiTheme="minorHAnsi" w:hAnsiTheme="minorHAnsi" w:cstheme="minorHAnsi"/>
                <w:sz w:val="20"/>
                <w:szCs w:val="20"/>
              </w:rPr>
              <w:t>1</w:t>
            </w:r>
            <w:r w:rsidRPr="008A6CC5">
              <w:rPr>
                <w:rFonts w:asciiTheme="minorHAnsi" w:hAnsiTheme="minorHAnsi" w:cstheme="minorHAnsi"/>
                <w:sz w:val="20"/>
                <w:szCs w:val="20"/>
              </w:rPr>
              <w:t xml:space="preserve"> k</w:t>
            </w:r>
            <w:r w:rsidR="00D8524F">
              <w:rPr>
                <w:rFonts w:asciiTheme="minorHAnsi" w:hAnsiTheme="minorHAnsi" w:cstheme="minorHAnsi"/>
                <w:sz w:val="20"/>
                <w:szCs w:val="20"/>
              </w:rPr>
              <w:t>.</w:t>
            </w:r>
            <w:r w:rsidRPr="008A6CC5">
              <w:rPr>
                <w:rFonts w:asciiTheme="minorHAnsi" w:hAnsiTheme="minorHAnsi" w:cstheme="minorHAnsi"/>
                <w:sz w:val="20"/>
                <w:szCs w:val="20"/>
              </w:rPr>
              <w:t>c</w:t>
            </w:r>
            <w:r w:rsidR="00D8524F">
              <w:rPr>
                <w:rFonts w:asciiTheme="minorHAnsi" w:hAnsiTheme="minorHAnsi" w:cstheme="minorHAnsi"/>
                <w:sz w:val="20"/>
                <w:szCs w:val="20"/>
              </w:rPr>
              <w:t>.</w:t>
            </w:r>
            <w:r w:rsidRPr="008A6CC5">
              <w:rPr>
                <w:rFonts w:asciiTheme="minorHAnsi" w:hAnsiTheme="minorHAnsi" w:cstheme="minorHAnsi"/>
                <w:sz w:val="20"/>
                <w:szCs w:val="20"/>
              </w:rPr>
              <w:t>)</w:t>
            </w:r>
          </w:p>
        </w:tc>
        <w:tc>
          <w:tcPr>
            <w:tcW w:w="4536" w:type="dxa"/>
          </w:tcPr>
          <w:p w14:paraId="15C3DBA4" w14:textId="599D7AF7" w:rsidR="00A06425" w:rsidRPr="008A6CC5" w:rsidRDefault="00A044DA" w:rsidP="00A044DA">
            <w:pPr>
              <w:jc w:val="both"/>
              <w:rPr>
                <w:rFonts w:asciiTheme="minorHAnsi" w:hAnsiTheme="minorHAnsi" w:cstheme="minorHAnsi"/>
                <w:sz w:val="20"/>
                <w:szCs w:val="20"/>
              </w:rPr>
            </w:pPr>
            <w:r w:rsidRPr="008A6CC5">
              <w:rPr>
                <w:rFonts w:asciiTheme="minorHAnsi" w:hAnsiTheme="minorHAnsi" w:cstheme="minorHAnsi"/>
                <w:sz w:val="20"/>
                <w:szCs w:val="20"/>
              </w:rPr>
              <w:t xml:space="preserve">Proponuję </w:t>
            </w:r>
            <w:r w:rsidR="00FF40B0" w:rsidRPr="008A6CC5">
              <w:rPr>
                <w:rFonts w:asciiTheme="minorHAnsi" w:hAnsiTheme="minorHAnsi" w:cstheme="minorHAnsi"/>
                <w:sz w:val="20"/>
                <w:szCs w:val="20"/>
              </w:rPr>
              <w:t xml:space="preserve">się rozważyć pozostawienie </w:t>
            </w:r>
            <w:r w:rsidRPr="008A6CC5">
              <w:rPr>
                <w:rFonts w:asciiTheme="minorHAnsi" w:hAnsiTheme="minorHAnsi" w:cstheme="minorHAnsi"/>
                <w:sz w:val="20"/>
                <w:szCs w:val="20"/>
              </w:rPr>
              <w:t>art. 951 KC w aktualnym brzmieniu.</w:t>
            </w:r>
          </w:p>
          <w:p w14:paraId="15CDF095" w14:textId="7FB81A0D" w:rsidR="00344CB6" w:rsidRPr="008A6CC5" w:rsidRDefault="00344CB6" w:rsidP="00344CB6">
            <w:pPr>
              <w:jc w:val="both"/>
              <w:rPr>
                <w:rFonts w:asciiTheme="minorHAnsi" w:hAnsiTheme="minorHAnsi" w:cstheme="minorHAnsi"/>
                <w:sz w:val="20"/>
                <w:szCs w:val="20"/>
              </w:rPr>
            </w:pPr>
            <w:r w:rsidRPr="008A6CC5">
              <w:rPr>
                <w:rFonts w:asciiTheme="minorHAnsi" w:hAnsiTheme="minorHAnsi" w:cstheme="minorHAnsi"/>
                <w:sz w:val="20"/>
                <w:szCs w:val="20"/>
              </w:rPr>
              <w:t xml:space="preserve">Z perspektywy rejonów Polski mniej zurbanizowanych, z mniejszą dostępnością do usług notarialnych, testament </w:t>
            </w:r>
            <w:proofErr w:type="spellStart"/>
            <w:r w:rsidRPr="008A6CC5">
              <w:rPr>
                <w:rFonts w:asciiTheme="minorHAnsi" w:hAnsiTheme="minorHAnsi" w:cstheme="minorHAnsi"/>
                <w:sz w:val="20"/>
                <w:szCs w:val="20"/>
              </w:rPr>
              <w:t>allograficzny</w:t>
            </w:r>
            <w:proofErr w:type="spellEnd"/>
            <w:r w:rsidRPr="008A6CC5">
              <w:rPr>
                <w:rFonts w:asciiTheme="minorHAnsi" w:hAnsiTheme="minorHAnsi" w:cstheme="minorHAnsi"/>
                <w:sz w:val="20"/>
                <w:szCs w:val="20"/>
              </w:rPr>
              <w:t xml:space="preserve"> ma nadal istotne znaczenie. Przytoczone w OSR statystyki wskazują, że kilkuset obywateli rocznie korzysta z tej formy rozporządzenia mieniem na wypadek śmierci. </w:t>
            </w:r>
          </w:p>
          <w:p w14:paraId="18933AFB" w14:textId="77777777" w:rsidR="00344CB6" w:rsidRPr="008A6CC5" w:rsidRDefault="00344CB6" w:rsidP="00344CB6">
            <w:pPr>
              <w:jc w:val="both"/>
              <w:rPr>
                <w:rFonts w:asciiTheme="minorHAnsi" w:hAnsiTheme="minorHAnsi" w:cstheme="minorHAnsi"/>
                <w:sz w:val="20"/>
                <w:szCs w:val="20"/>
              </w:rPr>
            </w:pPr>
            <w:r w:rsidRPr="008A6CC5">
              <w:rPr>
                <w:rFonts w:asciiTheme="minorHAnsi" w:hAnsiTheme="minorHAnsi" w:cstheme="minorHAnsi"/>
                <w:sz w:val="20"/>
                <w:szCs w:val="20"/>
              </w:rPr>
              <w:lastRenderedPageBreak/>
              <w:t>Jakkolwiek podstawową formą kodeksową jest testament holograficzny (art. 949 KC), to jednak szczególnie osoby w starszym wieku zwracają uwagę na możliwość sporządzenia testamentu przed urzędnikiem sprawującym funkcję publiczną.</w:t>
            </w:r>
          </w:p>
          <w:p w14:paraId="634A6129" w14:textId="21A7649B" w:rsidR="00344CB6" w:rsidRPr="008A6CC5" w:rsidRDefault="00344CB6" w:rsidP="00344CB6">
            <w:pPr>
              <w:jc w:val="both"/>
              <w:rPr>
                <w:rFonts w:asciiTheme="minorHAnsi" w:hAnsiTheme="minorHAnsi" w:cstheme="minorHAnsi"/>
                <w:sz w:val="20"/>
                <w:szCs w:val="20"/>
              </w:rPr>
            </w:pPr>
            <w:r w:rsidRPr="008A6CC5">
              <w:rPr>
                <w:rFonts w:asciiTheme="minorHAnsi" w:hAnsiTheme="minorHAnsi" w:cstheme="minorHAnsi"/>
                <w:sz w:val="20"/>
                <w:szCs w:val="20"/>
              </w:rPr>
              <w:t xml:space="preserve">Należy również zwrócić uwagę, że dostępność świadczenia usług przez podmioty publiczne </w:t>
            </w:r>
            <w:r w:rsidR="00B853BE" w:rsidRPr="008A6CC5">
              <w:rPr>
                <w:rFonts w:asciiTheme="minorHAnsi" w:hAnsiTheme="minorHAnsi" w:cstheme="minorHAnsi"/>
                <w:sz w:val="20"/>
                <w:szCs w:val="20"/>
              </w:rPr>
              <w:t xml:space="preserve">                   </w:t>
            </w:r>
            <w:r w:rsidRPr="008A6CC5">
              <w:rPr>
                <w:rFonts w:asciiTheme="minorHAnsi" w:hAnsiTheme="minorHAnsi" w:cstheme="minorHAnsi"/>
                <w:sz w:val="20"/>
                <w:szCs w:val="20"/>
              </w:rPr>
              <w:t xml:space="preserve">w zakresie sporządzania testamentów </w:t>
            </w:r>
            <w:proofErr w:type="spellStart"/>
            <w:r w:rsidRPr="008A6CC5">
              <w:rPr>
                <w:rFonts w:asciiTheme="minorHAnsi" w:hAnsiTheme="minorHAnsi" w:cstheme="minorHAnsi"/>
                <w:sz w:val="20"/>
                <w:szCs w:val="20"/>
              </w:rPr>
              <w:t>allograficznych</w:t>
            </w:r>
            <w:proofErr w:type="spellEnd"/>
            <w:r w:rsidRPr="008A6CC5">
              <w:rPr>
                <w:rFonts w:asciiTheme="minorHAnsi" w:hAnsiTheme="minorHAnsi" w:cstheme="minorHAnsi"/>
                <w:sz w:val="20"/>
                <w:szCs w:val="20"/>
              </w:rPr>
              <w:t xml:space="preserve"> jest zdecydowanie większa, zarówno ze względu na </w:t>
            </w:r>
            <w:r w:rsidR="00FF40B0" w:rsidRPr="008A6CC5">
              <w:rPr>
                <w:rFonts w:asciiTheme="minorHAnsi" w:hAnsiTheme="minorHAnsi" w:cstheme="minorHAnsi"/>
                <w:sz w:val="20"/>
                <w:szCs w:val="20"/>
              </w:rPr>
              <w:t>terytorialny zasięg administracji samorządowej</w:t>
            </w:r>
            <w:r w:rsidRPr="008A6CC5">
              <w:rPr>
                <w:rFonts w:asciiTheme="minorHAnsi" w:hAnsiTheme="minorHAnsi" w:cstheme="minorHAnsi"/>
                <w:sz w:val="20"/>
                <w:szCs w:val="20"/>
              </w:rPr>
              <w:t xml:space="preserve">, jak również </w:t>
            </w:r>
            <w:r w:rsidR="00FF40B0" w:rsidRPr="008A6CC5">
              <w:rPr>
                <w:rFonts w:asciiTheme="minorHAnsi" w:hAnsiTheme="minorHAnsi" w:cstheme="minorHAnsi"/>
                <w:sz w:val="20"/>
                <w:szCs w:val="20"/>
              </w:rPr>
              <w:br/>
              <w:t>z pobudek ekonomicznych</w:t>
            </w:r>
            <w:r w:rsidRPr="008A6CC5">
              <w:rPr>
                <w:rFonts w:asciiTheme="minorHAnsi" w:hAnsiTheme="minorHAnsi" w:cstheme="minorHAnsi"/>
                <w:sz w:val="20"/>
                <w:szCs w:val="20"/>
              </w:rPr>
              <w:t>. Powyższe wynika ze zróżnicowania taksy notarialnej za sporządzenie testamentu notarialnego</w:t>
            </w:r>
            <w:r w:rsidR="00FF40B0" w:rsidRPr="008A6CC5">
              <w:rPr>
                <w:rFonts w:asciiTheme="minorHAnsi" w:hAnsiTheme="minorHAnsi" w:cstheme="minorHAnsi"/>
                <w:sz w:val="20"/>
                <w:szCs w:val="20"/>
              </w:rPr>
              <w:t xml:space="preserve"> (od 61,50 zł)</w:t>
            </w:r>
            <w:r w:rsidRPr="008A6CC5">
              <w:rPr>
                <w:rFonts w:asciiTheme="minorHAnsi" w:hAnsiTheme="minorHAnsi" w:cstheme="minorHAnsi"/>
                <w:sz w:val="20"/>
                <w:szCs w:val="20"/>
              </w:rPr>
              <w:t xml:space="preserve"> oraz opłaty skarbowej podlegającej uiszczeniu </w:t>
            </w:r>
            <w:r w:rsidR="00FF40B0" w:rsidRPr="008A6CC5">
              <w:rPr>
                <w:rFonts w:asciiTheme="minorHAnsi" w:hAnsiTheme="minorHAnsi" w:cstheme="minorHAnsi"/>
                <w:sz w:val="20"/>
                <w:szCs w:val="20"/>
              </w:rPr>
              <w:br/>
            </w:r>
            <w:r w:rsidRPr="008A6CC5">
              <w:rPr>
                <w:rFonts w:asciiTheme="minorHAnsi" w:hAnsiTheme="minorHAnsi" w:cstheme="minorHAnsi"/>
                <w:sz w:val="20"/>
                <w:szCs w:val="20"/>
              </w:rPr>
              <w:t>z tytułu sporządzenia testamentu alograficznego</w:t>
            </w:r>
            <w:r w:rsidR="00FF40B0" w:rsidRPr="008A6CC5">
              <w:rPr>
                <w:rFonts w:asciiTheme="minorHAnsi" w:hAnsiTheme="minorHAnsi" w:cstheme="minorHAnsi"/>
                <w:sz w:val="20"/>
                <w:szCs w:val="20"/>
              </w:rPr>
              <w:t xml:space="preserve"> (22 zł)</w:t>
            </w:r>
            <w:r w:rsidRPr="008A6CC5">
              <w:rPr>
                <w:rFonts w:asciiTheme="minorHAnsi" w:hAnsiTheme="minorHAnsi" w:cstheme="minorHAnsi"/>
                <w:sz w:val="20"/>
                <w:szCs w:val="20"/>
              </w:rPr>
              <w:t>.</w:t>
            </w:r>
            <w:r w:rsidR="00FF40B0" w:rsidRPr="008A6CC5">
              <w:rPr>
                <w:rFonts w:asciiTheme="minorHAnsi" w:hAnsiTheme="minorHAnsi" w:cstheme="minorHAnsi"/>
                <w:sz w:val="20"/>
                <w:szCs w:val="20"/>
              </w:rPr>
              <w:t xml:space="preserve"> W konsekwencji usunięcia normy art. 955 § 1 k</w:t>
            </w:r>
            <w:r w:rsidR="00D8524F">
              <w:rPr>
                <w:rFonts w:asciiTheme="minorHAnsi" w:hAnsiTheme="minorHAnsi" w:cstheme="minorHAnsi"/>
                <w:sz w:val="20"/>
                <w:szCs w:val="20"/>
              </w:rPr>
              <w:t>.</w:t>
            </w:r>
            <w:r w:rsidR="00FF40B0" w:rsidRPr="008A6CC5">
              <w:rPr>
                <w:rFonts w:asciiTheme="minorHAnsi" w:hAnsiTheme="minorHAnsi" w:cstheme="minorHAnsi"/>
                <w:sz w:val="20"/>
                <w:szCs w:val="20"/>
              </w:rPr>
              <w:t>c</w:t>
            </w:r>
            <w:r w:rsidR="00D8524F">
              <w:rPr>
                <w:rFonts w:asciiTheme="minorHAnsi" w:hAnsiTheme="minorHAnsi" w:cstheme="minorHAnsi"/>
                <w:sz w:val="20"/>
                <w:szCs w:val="20"/>
              </w:rPr>
              <w:t>.</w:t>
            </w:r>
            <w:r w:rsidR="00FF40B0" w:rsidRPr="008A6CC5">
              <w:rPr>
                <w:rFonts w:asciiTheme="minorHAnsi" w:hAnsiTheme="minorHAnsi" w:cstheme="minorHAnsi"/>
                <w:sz w:val="20"/>
                <w:szCs w:val="20"/>
              </w:rPr>
              <w:t xml:space="preserve"> sporządzenie testamentu w formie dokumentu urzędowego, będzie wiązało się </w:t>
            </w:r>
            <w:r w:rsidR="00FF40B0" w:rsidRPr="008A6CC5">
              <w:rPr>
                <w:rFonts w:asciiTheme="minorHAnsi" w:hAnsiTheme="minorHAnsi" w:cstheme="minorHAnsi"/>
                <w:sz w:val="20"/>
                <w:szCs w:val="20"/>
              </w:rPr>
              <w:br/>
              <w:t xml:space="preserve">z blisko trzykrotnym zwiększeniem kosztów jego sporządzenia.  </w:t>
            </w:r>
          </w:p>
          <w:p w14:paraId="3115E762" w14:textId="6BCCB9F9" w:rsidR="00344CB6" w:rsidRPr="008A6CC5" w:rsidRDefault="00344CB6" w:rsidP="00154DB3">
            <w:pPr>
              <w:jc w:val="both"/>
              <w:rPr>
                <w:rFonts w:asciiTheme="minorHAnsi" w:hAnsiTheme="minorHAnsi" w:cstheme="minorHAnsi"/>
                <w:sz w:val="20"/>
                <w:szCs w:val="20"/>
              </w:rPr>
            </w:pPr>
            <w:r w:rsidRPr="008A6CC5">
              <w:rPr>
                <w:rFonts w:asciiTheme="minorHAnsi" w:hAnsiTheme="minorHAnsi" w:cstheme="minorHAnsi"/>
                <w:sz w:val="20"/>
                <w:szCs w:val="20"/>
              </w:rPr>
              <w:t xml:space="preserve">Należy także zwrócić uwagę, że w świetle </w:t>
            </w:r>
            <w:r w:rsidR="00FF40B0" w:rsidRPr="008A6CC5">
              <w:rPr>
                <w:rFonts w:asciiTheme="minorHAnsi" w:hAnsiTheme="minorHAnsi" w:cstheme="minorHAnsi"/>
                <w:sz w:val="20"/>
                <w:szCs w:val="20"/>
              </w:rPr>
              <w:br/>
            </w:r>
            <w:r w:rsidRPr="008A6CC5">
              <w:rPr>
                <w:rFonts w:asciiTheme="minorHAnsi" w:hAnsiTheme="minorHAnsi" w:cstheme="minorHAnsi"/>
                <w:sz w:val="20"/>
                <w:szCs w:val="20"/>
              </w:rPr>
              <w:t>art. 244 k</w:t>
            </w:r>
            <w:r w:rsidR="00D8524F">
              <w:rPr>
                <w:rFonts w:asciiTheme="minorHAnsi" w:hAnsiTheme="minorHAnsi" w:cstheme="minorHAnsi"/>
                <w:sz w:val="20"/>
                <w:szCs w:val="20"/>
              </w:rPr>
              <w:t>.</w:t>
            </w:r>
            <w:r w:rsidRPr="008A6CC5">
              <w:rPr>
                <w:rFonts w:asciiTheme="minorHAnsi" w:hAnsiTheme="minorHAnsi" w:cstheme="minorHAnsi"/>
                <w:sz w:val="20"/>
                <w:szCs w:val="20"/>
              </w:rPr>
              <w:t>p</w:t>
            </w:r>
            <w:r w:rsidR="00D8524F">
              <w:rPr>
                <w:rFonts w:asciiTheme="minorHAnsi" w:hAnsiTheme="minorHAnsi" w:cstheme="minorHAnsi"/>
                <w:sz w:val="20"/>
                <w:szCs w:val="20"/>
              </w:rPr>
              <w:t>.c.</w:t>
            </w:r>
            <w:r w:rsidRPr="008A6CC5">
              <w:rPr>
                <w:rFonts w:asciiTheme="minorHAnsi" w:hAnsiTheme="minorHAnsi" w:cstheme="minorHAnsi"/>
                <w:sz w:val="20"/>
                <w:szCs w:val="20"/>
              </w:rPr>
              <w:t xml:space="preserve"> testament </w:t>
            </w:r>
            <w:proofErr w:type="spellStart"/>
            <w:r w:rsidRPr="008A6CC5">
              <w:rPr>
                <w:rFonts w:asciiTheme="minorHAnsi" w:hAnsiTheme="minorHAnsi" w:cstheme="minorHAnsi"/>
                <w:sz w:val="20"/>
                <w:szCs w:val="20"/>
              </w:rPr>
              <w:t>allograficzny</w:t>
            </w:r>
            <w:proofErr w:type="spellEnd"/>
            <w:r w:rsidRPr="008A6CC5">
              <w:rPr>
                <w:rFonts w:asciiTheme="minorHAnsi" w:hAnsiTheme="minorHAnsi" w:cstheme="minorHAnsi"/>
                <w:sz w:val="20"/>
                <w:szCs w:val="20"/>
              </w:rPr>
              <w:t xml:space="preserve">, </w:t>
            </w:r>
            <w:r w:rsidR="00FF40B0" w:rsidRPr="008A6CC5">
              <w:rPr>
                <w:rFonts w:asciiTheme="minorHAnsi" w:hAnsiTheme="minorHAnsi" w:cstheme="minorHAnsi"/>
                <w:sz w:val="20"/>
                <w:szCs w:val="20"/>
              </w:rPr>
              <w:br/>
            </w:r>
            <w:r w:rsidRPr="008A6CC5">
              <w:rPr>
                <w:rFonts w:asciiTheme="minorHAnsi" w:hAnsiTheme="minorHAnsi" w:cstheme="minorHAnsi"/>
                <w:sz w:val="20"/>
                <w:szCs w:val="20"/>
              </w:rPr>
              <w:t xml:space="preserve">w przeciwieństwie do testamentu odręcznego czy ustnego, </w:t>
            </w:r>
            <w:r w:rsidR="00154DB3" w:rsidRPr="008A6CC5">
              <w:rPr>
                <w:rFonts w:asciiTheme="minorHAnsi" w:hAnsiTheme="minorHAnsi" w:cstheme="minorHAnsi"/>
                <w:sz w:val="20"/>
                <w:szCs w:val="20"/>
              </w:rPr>
              <w:t>posiada przymiot</w:t>
            </w:r>
            <w:r w:rsidRPr="008A6CC5">
              <w:rPr>
                <w:rFonts w:asciiTheme="minorHAnsi" w:hAnsiTheme="minorHAnsi" w:cstheme="minorHAnsi"/>
                <w:sz w:val="20"/>
                <w:szCs w:val="20"/>
              </w:rPr>
              <w:t xml:space="preserve"> dokumentu urzędowego, </w:t>
            </w:r>
            <w:r w:rsidR="00154DB3" w:rsidRPr="008A6CC5">
              <w:rPr>
                <w:rFonts w:asciiTheme="minorHAnsi" w:hAnsiTheme="minorHAnsi" w:cstheme="minorHAnsi"/>
                <w:sz w:val="20"/>
                <w:szCs w:val="20"/>
              </w:rPr>
              <w:t xml:space="preserve">korzystającego z domniemania autentyczności, </w:t>
            </w:r>
            <w:r w:rsidRPr="008A6CC5">
              <w:rPr>
                <w:rFonts w:asciiTheme="minorHAnsi" w:hAnsiTheme="minorHAnsi" w:cstheme="minorHAnsi"/>
                <w:sz w:val="20"/>
                <w:szCs w:val="20"/>
              </w:rPr>
              <w:t xml:space="preserve">ułatwiając tym samym dowodzenie na drodze postępowania cywilnego.  </w:t>
            </w:r>
          </w:p>
        </w:tc>
        <w:tc>
          <w:tcPr>
            <w:tcW w:w="2693" w:type="dxa"/>
          </w:tcPr>
          <w:p w14:paraId="305A69BA" w14:textId="3ED89473" w:rsidR="00A044DA" w:rsidRPr="008A6CC5" w:rsidRDefault="00A044DA" w:rsidP="00344CB6">
            <w:pPr>
              <w:jc w:val="both"/>
              <w:rPr>
                <w:rFonts w:asciiTheme="minorHAnsi" w:hAnsiTheme="minorHAnsi" w:cstheme="minorHAnsi"/>
                <w:sz w:val="20"/>
                <w:szCs w:val="20"/>
              </w:rPr>
            </w:pPr>
            <w:r w:rsidRPr="008A6CC5">
              <w:rPr>
                <w:rFonts w:asciiTheme="minorHAnsi" w:hAnsiTheme="minorHAnsi" w:cstheme="minorHAnsi"/>
                <w:sz w:val="20"/>
                <w:szCs w:val="20"/>
              </w:rPr>
              <w:lastRenderedPageBreak/>
              <w:t xml:space="preserve"> </w:t>
            </w:r>
          </w:p>
        </w:tc>
        <w:tc>
          <w:tcPr>
            <w:tcW w:w="4480" w:type="dxa"/>
          </w:tcPr>
          <w:p w14:paraId="5C588B0D" w14:textId="06F869FA" w:rsidR="00264246" w:rsidRPr="00264246" w:rsidRDefault="00264246" w:rsidP="00264246">
            <w:pPr>
              <w:jc w:val="both"/>
              <w:rPr>
                <w:rFonts w:asciiTheme="minorHAnsi" w:hAnsiTheme="minorHAnsi" w:cstheme="minorHAnsi"/>
                <w:sz w:val="20"/>
                <w:szCs w:val="20"/>
              </w:rPr>
            </w:pPr>
            <w:r w:rsidRPr="00264246">
              <w:rPr>
                <w:rFonts w:asciiTheme="minorHAnsi" w:hAnsiTheme="minorHAnsi" w:cstheme="minorHAnsi"/>
                <w:sz w:val="20"/>
                <w:szCs w:val="20"/>
              </w:rPr>
              <w:t xml:space="preserve">Za usunięciem testamentu </w:t>
            </w:r>
            <w:proofErr w:type="spellStart"/>
            <w:r w:rsidRPr="00264246">
              <w:rPr>
                <w:rFonts w:asciiTheme="minorHAnsi" w:hAnsiTheme="minorHAnsi" w:cstheme="minorHAnsi"/>
                <w:sz w:val="20"/>
                <w:szCs w:val="20"/>
              </w:rPr>
              <w:t>allograficznego</w:t>
            </w:r>
            <w:proofErr w:type="spellEnd"/>
            <w:r w:rsidRPr="00264246">
              <w:rPr>
                <w:rFonts w:asciiTheme="minorHAnsi" w:hAnsiTheme="minorHAnsi" w:cstheme="minorHAnsi"/>
                <w:sz w:val="20"/>
                <w:szCs w:val="20"/>
              </w:rPr>
              <w:t xml:space="preserve"> z obecnego katalogu form testamentu zdecydowanie przemawiają dotychczasowe doświadczenia praktyczne związane z jej funkcjonowaniem oraz jej rzadkość występowania w praktyce. Z zebranych przez Ministerstwo Sprawiedliwości danych statystycznych wynika, że w okresie 10 lat – tj. od </w:t>
            </w:r>
            <w:r w:rsidR="00114D77" w:rsidRPr="00264246">
              <w:rPr>
                <w:rFonts w:asciiTheme="minorHAnsi" w:hAnsiTheme="minorHAnsi" w:cstheme="minorHAnsi"/>
                <w:sz w:val="20"/>
                <w:szCs w:val="20"/>
              </w:rPr>
              <w:t>1.01.2016</w:t>
            </w:r>
            <w:r w:rsidRPr="00264246">
              <w:rPr>
                <w:rFonts w:asciiTheme="minorHAnsi" w:hAnsiTheme="minorHAnsi" w:cstheme="minorHAnsi"/>
                <w:sz w:val="20"/>
                <w:szCs w:val="20"/>
              </w:rPr>
              <w:t xml:space="preserve"> r. do 31.12.2025 r. sporządzono w Polsce przed uprawnionymi do tego organami samorządu </w:t>
            </w:r>
            <w:r w:rsidRPr="00264246">
              <w:rPr>
                <w:rFonts w:asciiTheme="minorHAnsi" w:hAnsiTheme="minorHAnsi" w:cstheme="minorHAnsi"/>
                <w:sz w:val="20"/>
                <w:szCs w:val="20"/>
              </w:rPr>
              <w:lastRenderedPageBreak/>
              <w:t xml:space="preserve">terytorialnego 7084 testamentów </w:t>
            </w:r>
            <w:proofErr w:type="spellStart"/>
            <w:r w:rsidRPr="00264246">
              <w:rPr>
                <w:rFonts w:asciiTheme="minorHAnsi" w:hAnsiTheme="minorHAnsi" w:cstheme="minorHAnsi"/>
                <w:sz w:val="20"/>
                <w:szCs w:val="20"/>
              </w:rPr>
              <w:t>allograficznych</w:t>
            </w:r>
            <w:proofErr w:type="spellEnd"/>
            <w:r w:rsidRPr="00264246">
              <w:rPr>
                <w:rFonts w:asciiTheme="minorHAnsi" w:hAnsiTheme="minorHAnsi" w:cstheme="minorHAnsi"/>
                <w:sz w:val="20"/>
                <w:szCs w:val="20"/>
              </w:rPr>
              <w:t xml:space="preserve">. Ze względu na to, że w Polsce na dzień </w:t>
            </w:r>
            <w:r w:rsidR="00CD4F95" w:rsidRPr="00264246">
              <w:rPr>
                <w:rFonts w:asciiTheme="minorHAnsi" w:hAnsiTheme="minorHAnsi" w:cstheme="minorHAnsi"/>
                <w:sz w:val="20"/>
                <w:szCs w:val="20"/>
              </w:rPr>
              <w:t>1.01.2026</w:t>
            </w:r>
            <w:r w:rsidRPr="00264246">
              <w:rPr>
                <w:rFonts w:asciiTheme="minorHAnsi" w:hAnsiTheme="minorHAnsi" w:cstheme="minorHAnsi"/>
                <w:sz w:val="20"/>
                <w:szCs w:val="20"/>
              </w:rPr>
              <w:t xml:space="preserve"> r. jest 2809 jednostek samorządu terytorialnego (16 województw, 314 powiatów i 2479 gmin) oznacza to, że statystycznie w okresie ostatnich 10 lat w ramach każdej jednostki samorządu terytorialnego w Polsce sporządzano testament </w:t>
            </w:r>
            <w:proofErr w:type="spellStart"/>
            <w:r w:rsidRPr="00264246">
              <w:rPr>
                <w:rFonts w:asciiTheme="minorHAnsi" w:hAnsiTheme="minorHAnsi" w:cstheme="minorHAnsi"/>
                <w:sz w:val="20"/>
                <w:szCs w:val="20"/>
              </w:rPr>
              <w:t>allograficzny</w:t>
            </w:r>
            <w:proofErr w:type="spellEnd"/>
            <w:r w:rsidRPr="00264246">
              <w:rPr>
                <w:rFonts w:asciiTheme="minorHAnsi" w:hAnsiTheme="minorHAnsi" w:cstheme="minorHAnsi"/>
                <w:sz w:val="20"/>
                <w:szCs w:val="20"/>
              </w:rPr>
              <w:t xml:space="preserve"> raz na cztery lata (0,25 testamentu </w:t>
            </w:r>
            <w:proofErr w:type="spellStart"/>
            <w:r w:rsidRPr="00264246">
              <w:rPr>
                <w:rFonts w:asciiTheme="minorHAnsi" w:hAnsiTheme="minorHAnsi" w:cstheme="minorHAnsi"/>
                <w:sz w:val="20"/>
                <w:szCs w:val="20"/>
              </w:rPr>
              <w:t>allograficznego</w:t>
            </w:r>
            <w:proofErr w:type="spellEnd"/>
            <w:r w:rsidRPr="00264246">
              <w:rPr>
                <w:rFonts w:asciiTheme="minorHAnsi" w:hAnsiTheme="minorHAnsi" w:cstheme="minorHAnsi"/>
                <w:sz w:val="20"/>
                <w:szCs w:val="20"/>
              </w:rPr>
              <w:t xml:space="preserve"> na rok). Dla porównania w samym 2025 r. sporządzono 208</w:t>
            </w:r>
            <w:r w:rsidR="00D8524F">
              <w:rPr>
                <w:rFonts w:asciiTheme="minorHAnsi" w:hAnsiTheme="minorHAnsi" w:cstheme="minorHAnsi"/>
                <w:sz w:val="20"/>
                <w:szCs w:val="20"/>
              </w:rPr>
              <w:t> </w:t>
            </w:r>
            <w:r w:rsidRPr="00264246">
              <w:rPr>
                <w:rFonts w:asciiTheme="minorHAnsi" w:hAnsiTheme="minorHAnsi" w:cstheme="minorHAnsi"/>
                <w:sz w:val="20"/>
                <w:szCs w:val="20"/>
              </w:rPr>
              <w:t xml:space="preserve">071 testamentów notarialnych (a więc prawie 30 razy więcej), a we wskazanym okresie od </w:t>
            </w:r>
            <w:r w:rsidR="00CD4F95" w:rsidRPr="00264246">
              <w:rPr>
                <w:rFonts w:asciiTheme="minorHAnsi" w:hAnsiTheme="minorHAnsi" w:cstheme="minorHAnsi"/>
                <w:sz w:val="20"/>
                <w:szCs w:val="20"/>
              </w:rPr>
              <w:t>1.01.2016</w:t>
            </w:r>
            <w:r w:rsidRPr="00264246">
              <w:rPr>
                <w:rFonts w:asciiTheme="minorHAnsi" w:hAnsiTheme="minorHAnsi" w:cstheme="minorHAnsi"/>
                <w:sz w:val="20"/>
                <w:szCs w:val="20"/>
              </w:rPr>
              <w:t xml:space="preserve"> r. do 31.12.2025 r. sporządzono 1</w:t>
            </w:r>
            <w:r w:rsidR="00D8524F">
              <w:rPr>
                <w:rFonts w:asciiTheme="minorHAnsi" w:hAnsiTheme="minorHAnsi" w:cstheme="minorHAnsi"/>
                <w:sz w:val="20"/>
                <w:szCs w:val="20"/>
              </w:rPr>
              <w:t> </w:t>
            </w:r>
            <w:r w:rsidRPr="00264246">
              <w:rPr>
                <w:rFonts w:asciiTheme="minorHAnsi" w:hAnsiTheme="minorHAnsi" w:cstheme="minorHAnsi"/>
                <w:sz w:val="20"/>
                <w:szCs w:val="20"/>
              </w:rPr>
              <w:t>618</w:t>
            </w:r>
            <w:r w:rsidR="00D8524F">
              <w:rPr>
                <w:rFonts w:asciiTheme="minorHAnsi" w:hAnsiTheme="minorHAnsi" w:cstheme="minorHAnsi"/>
                <w:sz w:val="20"/>
                <w:szCs w:val="20"/>
              </w:rPr>
              <w:t> </w:t>
            </w:r>
            <w:r w:rsidRPr="00264246">
              <w:rPr>
                <w:rFonts w:asciiTheme="minorHAnsi" w:hAnsiTheme="minorHAnsi" w:cstheme="minorHAnsi"/>
                <w:sz w:val="20"/>
                <w:szCs w:val="20"/>
              </w:rPr>
              <w:t xml:space="preserve">228 testamentów notarialnych (a więc prawie 230 razy więcej – liczba testamentów </w:t>
            </w:r>
            <w:proofErr w:type="spellStart"/>
            <w:r w:rsidRPr="00264246">
              <w:rPr>
                <w:rFonts w:asciiTheme="minorHAnsi" w:hAnsiTheme="minorHAnsi" w:cstheme="minorHAnsi"/>
                <w:sz w:val="20"/>
                <w:szCs w:val="20"/>
              </w:rPr>
              <w:t>allograficznych</w:t>
            </w:r>
            <w:proofErr w:type="spellEnd"/>
            <w:r w:rsidRPr="00264246">
              <w:rPr>
                <w:rFonts w:asciiTheme="minorHAnsi" w:hAnsiTheme="minorHAnsi" w:cstheme="minorHAnsi"/>
                <w:sz w:val="20"/>
                <w:szCs w:val="20"/>
              </w:rPr>
              <w:t xml:space="preserve"> stanowiłaby więc 0,004 całej ilości testamentów notarialnych, a więc cztery promile). </w:t>
            </w:r>
          </w:p>
          <w:p w14:paraId="4BDB5959" w14:textId="77777777" w:rsidR="00264246" w:rsidRPr="00264246" w:rsidRDefault="00264246" w:rsidP="00264246">
            <w:pPr>
              <w:jc w:val="both"/>
              <w:rPr>
                <w:rFonts w:asciiTheme="minorHAnsi" w:hAnsiTheme="minorHAnsi" w:cstheme="minorHAnsi"/>
                <w:sz w:val="20"/>
                <w:szCs w:val="20"/>
              </w:rPr>
            </w:pPr>
            <w:r w:rsidRPr="00264246">
              <w:rPr>
                <w:rFonts w:asciiTheme="minorHAnsi" w:hAnsiTheme="minorHAnsi" w:cstheme="minorHAnsi"/>
                <w:sz w:val="20"/>
                <w:szCs w:val="20"/>
              </w:rPr>
              <w:t xml:space="preserve">W świetle przytoczonych danych statystycznych można mieć też wątpliwości, czy rzeczywiście testament </w:t>
            </w:r>
            <w:proofErr w:type="spellStart"/>
            <w:r w:rsidRPr="00264246">
              <w:rPr>
                <w:rFonts w:asciiTheme="minorHAnsi" w:hAnsiTheme="minorHAnsi" w:cstheme="minorHAnsi"/>
                <w:sz w:val="20"/>
                <w:szCs w:val="20"/>
              </w:rPr>
              <w:t>allograficzny</w:t>
            </w:r>
            <w:proofErr w:type="spellEnd"/>
            <w:r w:rsidRPr="00264246">
              <w:rPr>
                <w:rFonts w:asciiTheme="minorHAnsi" w:hAnsiTheme="minorHAnsi" w:cstheme="minorHAnsi"/>
                <w:sz w:val="20"/>
                <w:szCs w:val="20"/>
              </w:rPr>
              <w:t xml:space="preserve"> ma „nadal istotne znaczenie”, a ponadto, czy testament holograficzny jest rzeczywiście obecnie w Polsce „podstawową formą testamentu” w zestawieniu z testamentem notarialnym.</w:t>
            </w:r>
          </w:p>
          <w:p w14:paraId="38FF8D30" w14:textId="77777777" w:rsidR="00264246" w:rsidRPr="00264246" w:rsidRDefault="00264246" w:rsidP="00264246">
            <w:pPr>
              <w:jc w:val="both"/>
              <w:rPr>
                <w:rFonts w:asciiTheme="minorHAnsi" w:hAnsiTheme="minorHAnsi" w:cstheme="minorHAnsi"/>
                <w:sz w:val="20"/>
                <w:szCs w:val="20"/>
              </w:rPr>
            </w:pPr>
            <w:r w:rsidRPr="00264246">
              <w:rPr>
                <w:rFonts w:asciiTheme="minorHAnsi" w:hAnsiTheme="minorHAnsi" w:cstheme="minorHAnsi"/>
                <w:sz w:val="20"/>
                <w:szCs w:val="20"/>
              </w:rPr>
              <w:t xml:space="preserve">Podkreślić należy również, że nie ma żadnego systemu elektronicznego na wzór Notarialnego Rejestru Testamentów, zarówno na poziomie lokalnym, jak i centralnym, w którym takie testamenty </w:t>
            </w:r>
            <w:proofErr w:type="spellStart"/>
            <w:r w:rsidRPr="00264246">
              <w:rPr>
                <w:rFonts w:asciiTheme="minorHAnsi" w:hAnsiTheme="minorHAnsi" w:cstheme="minorHAnsi"/>
                <w:sz w:val="20"/>
                <w:szCs w:val="20"/>
              </w:rPr>
              <w:t>allograficzne</w:t>
            </w:r>
            <w:proofErr w:type="spellEnd"/>
            <w:r w:rsidRPr="00264246">
              <w:rPr>
                <w:rFonts w:asciiTheme="minorHAnsi" w:hAnsiTheme="minorHAnsi" w:cstheme="minorHAnsi"/>
                <w:sz w:val="20"/>
                <w:szCs w:val="20"/>
              </w:rPr>
              <w:t xml:space="preserve"> byłyby ewidencjonowane na wzór Notarialnego Rejestru Testamentów. Może powodować to w praktyce bardzo duże problemy po śmierci testatorów, gdyż w wielu wypadkach potencjalni spadkobiercy nie są świadomi, że do sporządzenia przez testatora testamentu w tej formie doszło. Podważa to również znaczenie testamentu </w:t>
            </w:r>
            <w:proofErr w:type="spellStart"/>
            <w:r w:rsidRPr="00264246">
              <w:rPr>
                <w:rFonts w:asciiTheme="minorHAnsi" w:hAnsiTheme="minorHAnsi" w:cstheme="minorHAnsi"/>
                <w:sz w:val="20"/>
                <w:szCs w:val="20"/>
              </w:rPr>
              <w:t>allograficznego</w:t>
            </w:r>
            <w:proofErr w:type="spellEnd"/>
            <w:r w:rsidRPr="00264246">
              <w:rPr>
                <w:rFonts w:asciiTheme="minorHAnsi" w:hAnsiTheme="minorHAnsi" w:cstheme="minorHAnsi"/>
                <w:sz w:val="20"/>
                <w:szCs w:val="20"/>
              </w:rPr>
              <w:t xml:space="preserve"> jako dokumentu urzędowego. Podkreślić należy również, że testament w formie </w:t>
            </w:r>
            <w:proofErr w:type="spellStart"/>
            <w:r w:rsidRPr="00264246">
              <w:rPr>
                <w:rFonts w:asciiTheme="minorHAnsi" w:hAnsiTheme="minorHAnsi" w:cstheme="minorHAnsi"/>
                <w:sz w:val="20"/>
                <w:szCs w:val="20"/>
              </w:rPr>
              <w:t>allograficznej</w:t>
            </w:r>
            <w:proofErr w:type="spellEnd"/>
            <w:r w:rsidRPr="00264246">
              <w:rPr>
                <w:rFonts w:asciiTheme="minorHAnsi" w:hAnsiTheme="minorHAnsi" w:cstheme="minorHAnsi"/>
                <w:sz w:val="20"/>
                <w:szCs w:val="20"/>
              </w:rPr>
              <w:t xml:space="preserve"> nie powinien być na tej płaszczyźnie porównywany z testamentem w formie własnoręcznej, lecz z testamentem w formie notarialnej, który również „posiada przymiot dokumentu urzędowego, korzystającego z domniemania autentyczności, ułatwiając tym samym dowodzenie na drodze postępowania cywilnego”.</w:t>
            </w:r>
          </w:p>
          <w:p w14:paraId="1796D738" w14:textId="0D7F6053" w:rsidR="00A06425" w:rsidRPr="008A6CC5" w:rsidRDefault="009911CE" w:rsidP="00530910">
            <w:pPr>
              <w:jc w:val="both"/>
              <w:rPr>
                <w:rFonts w:asciiTheme="minorHAnsi" w:hAnsiTheme="minorHAnsi" w:cstheme="minorHAnsi"/>
                <w:sz w:val="20"/>
                <w:szCs w:val="20"/>
              </w:rPr>
            </w:pPr>
            <w:r w:rsidRPr="008A6CC5">
              <w:rPr>
                <w:rFonts w:asciiTheme="minorHAnsi" w:hAnsiTheme="minorHAnsi" w:cstheme="minorHAnsi"/>
                <w:sz w:val="20"/>
                <w:szCs w:val="20"/>
              </w:rPr>
              <w:lastRenderedPageBreak/>
              <w:t xml:space="preserve">Ponadto z zebranych przez Ministerstwo Sprawiedliwości danych statystycznych wynika, że w okresie ostatnich 10 lat – tj. od </w:t>
            </w:r>
            <w:r w:rsidR="00AF527B" w:rsidRPr="008A6CC5">
              <w:rPr>
                <w:rFonts w:asciiTheme="minorHAnsi" w:hAnsiTheme="minorHAnsi" w:cstheme="minorHAnsi"/>
                <w:sz w:val="20"/>
                <w:szCs w:val="20"/>
              </w:rPr>
              <w:t>1.01.2016</w:t>
            </w:r>
            <w:r w:rsidRPr="008A6CC5">
              <w:rPr>
                <w:rFonts w:asciiTheme="minorHAnsi" w:hAnsiTheme="minorHAnsi" w:cstheme="minorHAnsi"/>
                <w:sz w:val="20"/>
                <w:szCs w:val="20"/>
              </w:rPr>
              <w:t xml:space="preserve"> r. do 31.12.2025 r. – dochód wszystkich podmiotów publicznych w Polsce z tytułu opłat za sporządzone przed nimi testamenty </w:t>
            </w:r>
            <w:proofErr w:type="spellStart"/>
            <w:r w:rsidRPr="008A6CC5">
              <w:rPr>
                <w:rFonts w:asciiTheme="minorHAnsi" w:hAnsiTheme="minorHAnsi" w:cstheme="minorHAnsi"/>
                <w:sz w:val="20"/>
                <w:szCs w:val="20"/>
              </w:rPr>
              <w:t>allograficzne</w:t>
            </w:r>
            <w:proofErr w:type="spellEnd"/>
            <w:r w:rsidRPr="008A6CC5">
              <w:rPr>
                <w:rFonts w:asciiTheme="minorHAnsi" w:hAnsiTheme="minorHAnsi" w:cstheme="minorHAnsi"/>
                <w:sz w:val="20"/>
                <w:szCs w:val="20"/>
              </w:rPr>
              <w:t xml:space="preserve"> wyniósł 153</w:t>
            </w:r>
            <w:r w:rsidR="00D8524F">
              <w:rPr>
                <w:rFonts w:asciiTheme="minorHAnsi" w:hAnsiTheme="minorHAnsi" w:cstheme="minorHAnsi"/>
                <w:sz w:val="20"/>
                <w:szCs w:val="20"/>
              </w:rPr>
              <w:t> </w:t>
            </w:r>
            <w:r w:rsidRPr="008A6CC5">
              <w:rPr>
                <w:rFonts w:asciiTheme="minorHAnsi" w:hAnsiTheme="minorHAnsi" w:cstheme="minorHAnsi"/>
                <w:sz w:val="20"/>
                <w:szCs w:val="20"/>
              </w:rPr>
              <w:t xml:space="preserve">536 zł </w:t>
            </w:r>
            <w:r w:rsidR="00E13DA5" w:rsidRPr="008A6CC5">
              <w:rPr>
                <w:rFonts w:asciiTheme="minorHAnsi" w:hAnsiTheme="minorHAnsi" w:cstheme="minorHAnsi"/>
                <w:sz w:val="20"/>
                <w:szCs w:val="20"/>
              </w:rPr>
              <w:t xml:space="preserve">(a więc 15 353,6 zł rocznie). </w:t>
            </w:r>
            <w:r w:rsidRPr="008A6CC5">
              <w:rPr>
                <w:rFonts w:asciiTheme="minorHAnsi" w:hAnsiTheme="minorHAnsi" w:cstheme="minorHAnsi"/>
                <w:sz w:val="20"/>
                <w:szCs w:val="20"/>
              </w:rPr>
              <w:t xml:space="preserve">W jednej zaś tylko sprawie sądowej zakończonej wyrokiem SN z 18.11.2015 r., III CSK 16/15 od gminy pozwanej za wadliwe działania jej kierownika USC, który sporządził wadliwy testament </w:t>
            </w:r>
            <w:proofErr w:type="spellStart"/>
            <w:r w:rsidRPr="008A6CC5">
              <w:rPr>
                <w:rFonts w:asciiTheme="minorHAnsi" w:hAnsiTheme="minorHAnsi" w:cstheme="minorHAnsi"/>
                <w:sz w:val="20"/>
                <w:szCs w:val="20"/>
              </w:rPr>
              <w:t>allograficzny</w:t>
            </w:r>
            <w:proofErr w:type="spellEnd"/>
            <w:r w:rsidRPr="008A6CC5">
              <w:rPr>
                <w:rFonts w:asciiTheme="minorHAnsi" w:hAnsiTheme="minorHAnsi" w:cstheme="minorHAnsi"/>
                <w:sz w:val="20"/>
                <w:szCs w:val="20"/>
              </w:rPr>
              <w:t xml:space="preserve"> zasądzono kwotę 133</w:t>
            </w:r>
            <w:r w:rsidR="00D8524F">
              <w:rPr>
                <w:rFonts w:asciiTheme="minorHAnsi" w:hAnsiTheme="minorHAnsi" w:cstheme="minorHAnsi"/>
                <w:sz w:val="20"/>
                <w:szCs w:val="20"/>
              </w:rPr>
              <w:t> </w:t>
            </w:r>
            <w:r w:rsidRPr="008A6CC5">
              <w:rPr>
                <w:rFonts w:asciiTheme="minorHAnsi" w:hAnsiTheme="minorHAnsi" w:cstheme="minorHAnsi"/>
                <w:sz w:val="20"/>
                <w:szCs w:val="20"/>
              </w:rPr>
              <w:t xml:space="preserve">242,75 zł. (a więc kwotę nieznacznie tylko </w:t>
            </w:r>
            <w:r w:rsidR="00E13DA5" w:rsidRPr="008A6CC5">
              <w:rPr>
                <w:rFonts w:asciiTheme="minorHAnsi" w:hAnsiTheme="minorHAnsi" w:cstheme="minorHAnsi"/>
                <w:sz w:val="20"/>
                <w:szCs w:val="20"/>
              </w:rPr>
              <w:t>mniejszą</w:t>
            </w:r>
            <w:r w:rsidRPr="008A6CC5">
              <w:rPr>
                <w:rFonts w:asciiTheme="minorHAnsi" w:hAnsiTheme="minorHAnsi" w:cstheme="minorHAnsi"/>
                <w:sz w:val="20"/>
                <w:szCs w:val="20"/>
              </w:rPr>
              <w:t>)</w:t>
            </w:r>
            <w:r w:rsidR="00E13DA5" w:rsidRPr="008A6CC5">
              <w:rPr>
                <w:rFonts w:asciiTheme="minorHAnsi" w:hAnsiTheme="minorHAnsi" w:cstheme="minorHAnsi"/>
                <w:sz w:val="20"/>
                <w:szCs w:val="20"/>
              </w:rPr>
              <w:t>. Stąd m</w:t>
            </w:r>
            <w:r w:rsidR="000E4DE8" w:rsidRPr="008A6CC5">
              <w:rPr>
                <w:rFonts w:asciiTheme="minorHAnsi" w:hAnsiTheme="minorHAnsi" w:cstheme="minorHAnsi"/>
                <w:sz w:val="20"/>
                <w:szCs w:val="20"/>
              </w:rPr>
              <w:t>ożna nawet uznać, że dalsze utrzymywanie</w:t>
            </w:r>
            <w:r w:rsidR="00613517" w:rsidRPr="008A6CC5">
              <w:rPr>
                <w:rFonts w:asciiTheme="minorHAnsi" w:hAnsiTheme="minorHAnsi" w:cstheme="minorHAnsi"/>
                <w:sz w:val="20"/>
                <w:szCs w:val="20"/>
              </w:rPr>
              <w:t xml:space="preserve"> tej formy testamentu</w:t>
            </w:r>
            <w:r w:rsidR="000E4DE8" w:rsidRPr="008A6CC5">
              <w:rPr>
                <w:rFonts w:asciiTheme="minorHAnsi" w:hAnsiTheme="minorHAnsi" w:cstheme="minorHAnsi"/>
                <w:sz w:val="20"/>
                <w:szCs w:val="20"/>
              </w:rPr>
              <w:t xml:space="preserve"> stanowi realne zagrożenie dla finansów podmiotów publicznych, co przemawia zdecydowanie za jej usunięciem z </w:t>
            </w:r>
            <w:r w:rsidR="00D8524F">
              <w:rPr>
                <w:rFonts w:asciiTheme="minorHAnsi" w:hAnsiTheme="minorHAnsi" w:cstheme="minorHAnsi"/>
                <w:sz w:val="20"/>
                <w:szCs w:val="20"/>
              </w:rPr>
              <w:t>Kodeksu cywilnego</w:t>
            </w:r>
            <w:r w:rsidR="000E4DE8" w:rsidRPr="008A6CC5">
              <w:rPr>
                <w:rFonts w:asciiTheme="minorHAnsi" w:hAnsiTheme="minorHAnsi" w:cstheme="minorHAnsi"/>
                <w:sz w:val="20"/>
                <w:szCs w:val="20"/>
              </w:rPr>
              <w:t>.</w:t>
            </w:r>
          </w:p>
        </w:tc>
      </w:tr>
      <w:tr w:rsidR="00FA24D1" w:rsidRPr="008A6CC5" w14:paraId="3DF5BBEB" w14:textId="77777777" w:rsidTr="000E4DE8">
        <w:tc>
          <w:tcPr>
            <w:tcW w:w="562" w:type="dxa"/>
          </w:tcPr>
          <w:p w14:paraId="3286B9DA" w14:textId="3EB4D7B5" w:rsidR="00FA24D1" w:rsidRPr="008A6CC5" w:rsidRDefault="00FA24D1" w:rsidP="00FA24D1">
            <w:pPr>
              <w:spacing w:before="120" w:after="120"/>
              <w:jc w:val="center"/>
              <w:rPr>
                <w:rFonts w:asciiTheme="minorHAnsi" w:hAnsiTheme="minorHAnsi" w:cstheme="minorHAnsi"/>
                <w:b/>
                <w:sz w:val="20"/>
                <w:szCs w:val="20"/>
              </w:rPr>
            </w:pPr>
            <w:r>
              <w:rPr>
                <w:rFonts w:asciiTheme="minorHAnsi" w:hAnsiTheme="minorHAnsi" w:cstheme="minorHAnsi"/>
                <w:b/>
                <w:sz w:val="20"/>
                <w:szCs w:val="20"/>
              </w:rPr>
              <w:lastRenderedPageBreak/>
              <w:t>3</w:t>
            </w:r>
          </w:p>
        </w:tc>
        <w:tc>
          <w:tcPr>
            <w:tcW w:w="1134" w:type="dxa"/>
          </w:tcPr>
          <w:p w14:paraId="7594AF51" w14:textId="61415A15" w:rsidR="00FA24D1" w:rsidRPr="008A6CC5" w:rsidRDefault="00FA24D1" w:rsidP="00FA24D1">
            <w:pPr>
              <w:spacing w:before="60" w:after="60"/>
              <w:jc w:val="center"/>
              <w:rPr>
                <w:rFonts w:asciiTheme="minorHAnsi" w:hAnsiTheme="minorHAnsi" w:cstheme="minorHAnsi"/>
                <w:b/>
                <w:sz w:val="20"/>
                <w:szCs w:val="20"/>
              </w:rPr>
            </w:pPr>
            <w:r w:rsidRPr="0091343C">
              <w:rPr>
                <w:rFonts w:asciiTheme="minorHAnsi" w:hAnsiTheme="minorHAnsi" w:cstheme="minorHAnsi"/>
                <w:b/>
                <w:sz w:val="20"/>
                <w:szCs w:val="20"/>
              </w:rPr>
              <w:t>MC</w:t>
            </w:r>
          </w:p>
        </w:tc>
        <w:tc>
          <w:tcPr>
            <w:tcW w:w="1843" w:type="dxa"/>
          </w:tcPr>
          <w:p w14:paraId="6416AF6F" w14:textId="2329B96A" w:rsidR="00FA24D1" w:rsidRPr="008A6CC5" w:rsidRDefault="00FA24D1" w:rsidP="00FA24D1">
            <w:pPr>
              <w:jc w:val="center"/>
              <w:rPr>
                <w:rFonts w:asciiTheme="minorHAnsi" w:hAnsiTheme="minorHAnsi" w:cstheme="minorHAnsi"/>
                <w:sz w:val="20"/>
                <w:szCs w:val="20"/>
              </w:rPr>
            </w:pPr>
            <w:r w:rsidRPr="0091343C">
              <w:rPr>
                <w:rFonts w:asciiTheme="minorHAnsi" w:hAnsiTheme="minorHAnsi" w:cstheme="minorHAnsi"/>
                <w:sz w:val="20"/>
                <w:szCs w:val="20"/>
              </w:rPr>
              <w:t>Ad. art. 1 pkt 2 w zakresie dodawanego art. 952 § 3 k.c.) oraz art. 1 pkt 5 w zakresie dodawanego art. 954</w:t>
            </w:r>
            <w:r>
              <w:rPr>
                <w:rFonts w:asciiTheme="minorHAnsi" w:hAnsiTheme="minorHAnsi" w:cstheme="minorHAnsi"/>
                <w:sz w:val="20"/>
                <w:szCs w:val="20"/>
                <w:vertAlign w:val="superscript"/>
              </w:rPr>
              <w:t>1</w:t>
            </w:r>
            <w:r w:rsidRPr="0091343C">
              <w:rPr>
                <w:rFonts w:asciiTheme="minorHAnsi" w:hAnsiTheme="minorHAnsi" w:cstheme="minorHAnsi"/>
                <w:sz w:val="20"/>
                <w:szCs w:val="20"/>
              </w:rPr>
              <w:t xml:space="preserve"> § 3 k.c.</w:t>
            </w:r>
          </w:p>
        </w:tc>
        <w:tc>
          <w:tcPr>
            <w:tcW w:w="4536" w:type="dxa"/>
          </w:tcPr>
          <w:p w14:paraId="55551CA6" w14:textId="12BACC8F" w:rsidR="00FA24D1" w:rsidRPr="008A6CC5" w:rsidRDefault="00FA24D1" w:rsidP="00FA24D1">
            <w:pPr>
              <w:jc w:val="both"/>
              <w:rPr>
                <w:rFonts w:asciiTheme="minorHAnsi" w:hAnsiTheme="minorHAnsi" w:cstheme="minorHAnsi"/>
                <w:sz w:val="20"/>
                <w:szCs w:val="20"/>
              </w:rPr>
            </w:pPr>
            <w:r w:rsidRPr="0091343C">
              <w:rPr>
                <w:rFonts w:asciiTheme="minorHAnsi" w:hAnsiTheme="minorHAnsi" w:cstheme="minorHAnsi"/>
                <w:sz w:val="20"/>
                <w:szCs w:val="20"/>
              </w:rPr>
              <w:t xml:space="preserve">Projekt ustawy przewiduje możliwość stwierdzenia treści testamentu ustnego i wojskowego poprzez utrwalenie oświadczenia spadkodawcy za pomocą urządzenia rejestrującego obraz i dźwięk na trwałym nośniku danych, a następnie przekazanie tego nagrania na nośniku notariuszowi lub do sądu spadku. W uzasadnieniu wskazano, że nośnikiem tym może być np. pamięć USB lub dysk zewnętrzny. Testament ustny i wojskowy sporządza się w sytuacjach wyjątkowych, np. w obawie rychłej śmierci na skutek wypadku, w szpitalu czy na obszarze działań zbrojnych z powodu odniesionych ran. Nagrania audiowizualne z takich zdarzeń będą obejmować newralgiczne dane osobowe, w tym dane szczególnej kategorii dotyczące stanu zdrowia (np. widoczne obrażenia, stan terminalny testatora) podlegające szczególnej ochronie na mocy art. 9 RODO, a także dane osobowe świadków. Przewidziane w projekcie jedynie fizyczne przekazanie „trwałego nośnika danych”, bez nałożenia ustawowych wymogów kryptograficznego zabezpieczenia (szyfrowania) takiego nośnika lub korzystania z bezpiecznych kanałów teleinformatycznych, rodzi wysokie ryzyko zgubienia nośnika, kradzieży lub dostępu osób nieuprawnionych do zapisu agonii człowieka. Brak takich wymogów na poziomie ustawowym w </w:t>
            </w:r>
            <w:r w:rsidRPr="0091343C">
              <w:rPr>
                <w:rFonts w:asciiTheme="minorHAnsi" w:hAnsiTheme="minorHAnsi" w:cstheme="minorHAnsi"/>
                <w:sz w:val="20"/>
                <w:szCs w:val="20"/>
              </w:rPr>
              <w:lastRenderedPageBreak/>
              <w:t>przypadku tak nowatorskiego procesu narusza zasadę uwzględniania ochrony danych w fazie projektowania (art. 25 RODO) oraz wymóg zapewnienia odpowiedniego stopnia bezpieczeństwa przetwarzania odpowiadającego ryzyku (art. 32 RODO). W ocenie MC należy doprecyzować projektowane przepisy poprzez ustanowienie wymogów bezpieczeństwa technicznego dla nośników danych zawierających nagrania oświadczeń woli, w szczególności nakazując ich zabezpieczenie (np. zaszyfrowanie) przed ich przekazaniem sądowi lub notariuszowi</w:t>
            </w:r>
          </w:p>
        </w:tc>
        <w:tc>
          <w:tcPr>
            <w:tcW w:w="2693" w:type="dxa"/>
          </w:tcPr>
          <w:p w14:paraId="3D38F8A7" w14:textId="77777777" w:rsidR="00FA24D1" w:rsidRPr="008A6CC5" w:rsidRDefault="00FA24D1" w:rsidP="00FA24D1">
            <w:pPr>
              <w:jc w:val="both"/>
              <w:rPr>
                <w:rFonts w:asciiTheme="minorHAnsi" w:hAnsiTheme="minorHAnsi" w:cstheme="minorHAnsi"/>
                <w:sz w:val="20"/>
                <w:szCs w:val="20"/>
              </w:rPr>
            </w:pPr>
          </w:p>
        </w:tc>
        <w:tc>
          <w:tcPr>
            <w:tcW w:w="4480" w:type="dxa"/>
          </w:tcPr>
          <w:p w14:paraId="16E2C544" w14:textId="77777777" w:rsidR="00E303C7" w:rsidRDefault="00E303C7" w:rsidP="00E303C7">
            <w:pPr>
              <w:rPr>
                <w:rFonts w:asciiTheme="minorHAnsi" w:hAnsiTheme="minorHAnsi" w:cstheme="minorHAnsi"/>
                <w:b/>
                <w:bCs/>
                <w:sz w:val="20"/>
                <w:szCs w:val="20"/>
              </w:rPr>
            </w:pPr>
            <w:r w:rsidRPr="0091343C">
              <w:rPr>
                <w:rFonts w:asciiTheme="minorHAnsi" w:hAnsiTheme="minorHAnsi" w:cstheme="minorHAnsi"/>
                <w:b/>
                <w:bCs/>
                <w:sz w:val="20"/>
                <w:szCs w:val="20"/>
              </w:rPr>
              <w:t>Uwaga nieuwzględniona</w:t>
            </w:r>
          </w:p>
          <w:p w14:paraId="14B67B2D" w14:textId="524F6A1B" w:rsidR="00E303C7" w:rsidRPr="0022015D" w:rsidRDefault="00E303C7" w:rsidP="00E303C7">
            <w:pPr>
              <w:jc w:val="both"/>
              <w:rPr>
                <w:rFonts w:asciiTheme="minorHAnsi" w:hAnsiTheme="minorHAnsi" w:cstheme="minorHAnsi"/>
                <w:sz w:val="20"/>
                <w:szCs w:val="20"/>
              </w:rPr>
            </w:pPr>
            <w:r w:rsidRPr="0022015D">
              <w:rPr>
                <w:rFonts w:asciiTheme="minorHAnsi" w:hAnsiTheme="minorHAnsi" w:cstheme="minorHAnsi"/>
                <w:sz w:val="20"/>
                <w:szCs w:val="20"/>
              </w:rPr>
              <w:t>Zgodnie z § 193 rozporządzenia Ministra Sprawiedliwości z dnia 18 czerwca 2019 r. – Regulamin urzędowania sądów powszechnych (</w:t>
            </w:r>
            <w:proofErr w:type="spellStart"/>
            <w:r w:rsidRPr="0022015D">
              <w:rPr>
                <w:rFonts w:asciiTheme="minorHAnsi" w:hAnsiTheme="minorHAnsi" w:cstheme="minorHAnsi"/>
                <w:sz w:val="20"/>
                <w:szCs w:val="20"/>
              </w:rPr>
              <w:t>t</w:t>
            </w:r>
            <w:r w:rsidR="0064605B">
              <w:rPr>
                <w:rFonts w:asciiTheme="minorHAnsi" w:hAnsiTheme="minorHAnsi" w:cstheme="minorHAnsi"/>
                <w:sz w:val="20"/>
                <w:szCs w:val="20"/>
              </w:rPr>
              <w:t>.</w:t>
            </w:r>
            <w:r w:rsidRPr="0022015D">
              <w:rPr>
                <w:rFonts w:asciiTheme="minorHAnsi" w:hAnsiTheme="minorHAnsi" w:cstheme="minorHAnsi"/>
                <w:sz w:val="20"/>
                <w:szCs w:val="20"/>
              </w:rPr>
              <w:t>j</w:t>
            </w:r>
            <w:proofErr w:type="spellEnd"/>
            <w:r w:rsidRPr="0022015D">
              <w:rPr>
                <w:rFonts w:asciiTheme="minorHAnsi" w:hAnsiTheme="minorHAnsi" w:cstheme="minorHAnsi"/>
                <w:sz w:val="20"/>
                <w:szCs w:val="20"/>
              </w:rPr>
              <w:t>. Dz.U. z 2024 r. poz. 867 ze zm.)</w:t>
            </w:r>
            <w:r>
              <w:rPr>
                <w:rFonts w:asciiTheme="minorHAnsi" w:hAnsiTheme="minorHAnsi" w:cstheme="minorHAnsi"/>
                <w:sz w:val="20"/>
                <w:szCs w:val="20"/>
              </w:rPr>
              <w:t>,</w:t>
            </w:r>
            <w:r w:rsidRPr="0022015D">
              <w:rPr>
                <w:rFonts w:asciiTheme="minorHAnsi" w:hAnsiTheme="minorHAnsi" w:cstheme="minorHAnsi"/>
                <w:sz w:val="20"/>
                <w:szCs w:val="20"/>
              </w:rPr>
              <w:t xml:space="preserve"> po ogłoszeniu testamentu jego oryginał z odpisem protokołu otwarcia i ogłoszenia zabezpiecza się w sądzie w przeznaczonej do tego celu kasie pancernej. W uzasadnieniu projektu ustawy wskazano</w:t>
            </w:r>
            <w:r>
              <w:rPr>
                <w:rFonts w:asciiTheme="minorHAnsi" w:hAnsiTheme="minorHAnsi" w:cstheme="minorHAnsi"/>
                <w:sz w:val="20"/>
                <w:szCs w:val="20"/>
              </w:rPr>
              <w:t xml:space="preserve">, </w:t>
            </w:r>
            <w:r w:rsidRPr="0022015D">
              <w:rPr>
                <w:rFonts w:asciiTheme="minorHAnsi" w:hAnsiTheme="minorHAnsi" w:cstheme="minorHAnsi"/>
                <w:sz w:val="20"/>
                <w:szCs w:val="20"/>
              </w:rPr>
              <w:t>że: „Z przyjęciem możliwości stwierdzenia treści testamentu ustnego przez utrwalenie oświadczenia spadkodawcy za pomocą urządzenia rejestrującego obraz i dźwięk na trwałym nośniku danych połączona jest konieczność uregulowania zagadnień związanych z przechowaniem i zabezpieczeniem takiego nagrania.</w:t>
            </w:r>
            <w:r>
              <w:rPr>
                <w:rFonts w:asciiTheme="minorHAnsi" w:hAnsiTheme="minorHAnsi" w:cstheme="minorHAnsi"/>
                <w:sz w:val="20"/>
                <w:szCs w:val="20"/>
              </w:rPr>
              <w:t xml:space="preserve">”. W konsekwencji zmianie ulegną przepisy ww. </w:t>
            </w:r>
            <w:r w:rsidR="00BD5953">
              <w:rPr>
                <w:rFonts w:asciiTheme="minorHAnsi" w:hAnsiTheme="minorHAnsi" w:cstheme="minorHAnsi"/>
                <w:sz w:val="20"/>
                <w:szCs w:val="20"/>
              </w:rPr>
              <w:t>r</w:t>
            </w:r>
            <w:r>
              <w:rPr>
                <w:rFonts w:asciiTheme="minorHAnsi" w:hAnsiTheme="minorHAnsi" w:cstheme="minorHAnsi"/>
                <w:sz w:val="20"/>
                <w:szCs w:val="20"/>
              </w:rPr>
              <w:t xml:space="preserve">ozporządzenia </w:t>
            </w:r>
            <w:r w:rsidRPr="0022015D">
              <w:rPr>
                <w:rFonts w:asciiTheme="minorHAnsi" w:hAnsiTheme="minorHAnsi" w:cstheme="minorHAnsi"/>
                <w:sz w:val="20"/>
                <w:szCs w:val="20"/>
              </w:rPr>
              <w:t xml:space="preserve">regulujące wydawanie takich nośników osobom zainteresowanym w toku postępowania spadkowego oraz po jego ukończeniu, a także zabezpieczenia ich w sądzie w przeznaczonej do tego celu kasie pancernej. </w:t>
            </w:r>
          </w:p>
          <w:p w14:paraId="37A02D0A" w14:textId="41192A36" w:rsidR="00E303C7" w:rsidRPr="0091343C" w:rsidRDefault="00E303C7" w:rsidP="00E303C7">
            <w:pPr>
              <w:jc w:val="both"/>
              <w:rPr>
                <w:rFonts w:asciiTheme="minorHAnsi" w:hAnsiTheme="minorHAnsi" w:cstheme="minorHAnsi"/>
                <w:sz w:val="20"/>
                <w:szCs w:val="20"/>
              </w:rPr>
            </w:pPr>
            <w:r>
              <w:rPr>
                <w:rFonts w:asciiTheme="minorHAnsi" w:hAnsiTheme="minorHAnsi" w:cstheme="minorHAnsi"/>
                <w:sz w:val="20"/>
                <w:szCs w:val="20"/>
              </w:rPr>
              <w:t>Nadto uprzejmie wskazuję, że o</w:t>
            </w:r>
            <w:r w:rsidRPr="0091343C">
              <w:rPr>
                <w:rFonts w:asciiTheme="minorHAnsi" w:hAnsiTheme="minorHAnsi" w:cstheme="minorHAnsi"/>
                <w:sz w:val="20"/>
                <w:szCs w:val="20"/>
              </w:rPr>
              <w:t>becna wersja projektu nie przewiduje formy testamentu audiowizualnego, a jedynie dodatkowy sposób stwierdzenia treści testamentu ustnego</w:t>
            </w:r>
            <w:r>
              <w:rPr>
                <w:rFonts w:asciiTheme="minorHAnsi" w:hAnsiTheme="minorHAnsi" w:cstheme="minorHAnsi"/>
                <w:sz w:val="20"/>
                <w:szCs w:val="20"/>
              </w:rPr>
              <w:t>/wojskowego</w:t>
            </w:r>
            <w:r w:rsidRPr="0091343C">
              <w:rPr>
                <w:rFonts w:asciiTheme="minorHAnsi" w:hAnsiTheme="minorHAnsi" w:cstheme="minorHAnsi"/>
                <w:sz w:val="20"/>
                <w:szCs w:val="20"/>
              </w:rPr>
              <w:t xml:space="preserve">. Obie formy stwierdzenia </w:t>
            </w:r>
            <w:r w:rsidRPr="0091343C">
              <w:rPr>
                <w:rFonts w:asciiTheme="minorHAnsi" w:hAnsiTheme="minorHAnsi" w:cstheme="minorHAnsi"/>
                <w:sz w:val="20"/>
                <w:szCs w:val="20"/>
              </w:rPr>
              <w:lastRenderedPageBreak/>
              <w:t xml:space="preserve">testamentu </w:t>
            </w:r>
            <w:r>
              <w:rPr>
                <w:rFonts w:asciiTheme="minorHAnsi" w:hAnsiTheme="minorHAnsi" w:cstheme="minorHAnsi"/>
                <w:sz w:val="20"/>
                <w:szCs w:val="20"/>
              </w:rPr>
              <w:t xml:space="preserve">(pismo oraz nagranie) </w:t>
            </w:r>
            <w:r w:rsidRPr="0091343C">
              <w:rPr>
                <w:rFonts w:asciiTheme="minorHAnsi" w:hAnsiTheme="minorHAnsi" w:cstheme="minorHAnsi"/>
                <w:sz w:val="20"/>
                <w:szCs w:val="20"/>
              </w:rPr>
              <w:t>zaprojektowano jako równoważne. Zagrożenia, o których mowa w uwadze</w:t>
            </w:r>
            <w:r w:rsidR="00FC7780">
              <w:rPr>
                <w:rFonts w:asciiTheme="minorHAnsi" w:hAnsiTheme="minorHAnsi" w:cstheme="minorHAnsi"/>
                <w:sz w:val="20"/>
                <w:szCs w:val="20"/>
              </w:rPr>
              <w:t>,</w:t>
            </w:r>
            <w:r w:rsidRPr="0091343C">
              <w:rPr>
                <w:rFonts w:asciiTheme="minorHAnsi" w:hAnsiTheme="minorHAnsi" w:cstheme="minorHAnsi"/>
                <w:sz w:val="20"/>
                <w:szCs w:val="20"/>
              </w:rPr>
              <w:t xml:space="preserve"> zostały uwzględnione przy formułowaniu nowej regulacji i zostały omówione w uzasadnieniu. Należy dodatkowo wskazać, że ryzyko sfałszowania treści testamentu ustnego</w:t>
            </w:r>
            <w:r>
              <w:rPr>
                <w:rFonts w:asciiTheme="minorHAnsi" w:hAnsiTheme="minorHAnsi" w:cstheme="minorHAnsi"/>
                <w:sz w:val="20"/>
                <w:szCs w:val="20"/>
              </w:rPr>
              <w:t>/wojskowego</w:t>
            </w:r>
            <w:r w:rsidRPr="0091343C">
              <w:rPr>
                <w:rFonts w:asciiTheme="minorHAnsi" w:hAnsiTheme="minorHAnsi" w:cstheme="minorHAnsi"/>
                <w:sz w:val="20"/>
                <w:szCs w:val="20"/>
              </w:rPr>
              <w:t xml:space="preserve">, którą utrwalono za pomocą urządzenia rejestrującego obraz i dźwięk na trwałym nośniku danych, zminimalizowano poprzez obowiązek utrwalenia oświadczenia woli spadkodawcy w sposób umożliwiający identyfikację spadkodawcy i co najmniej trzech świadków, co </w:t>
            </w:r>
            <w:r w:rsidRPr="0091343C">
              <w:rPr>
                <w:rFonts w:asciiTheme="minorHAnsi" w:hAnsiTheme="minorHAnsi" w:cstheme="minorHAnsi"/>
                <w:i/>
                <w:iCs/>
                <w:sz w:val="20"/>
                <w:szCs w:val="20"/>
              </w:rPr>
              <w:t>de facto</w:t>
            </w:r>
            <w:r w:rsidRPr="0091343C">
              <w:rPr>
                <w:rFonts w:asciiTheme="minorHAnsi" w:hAnsiTheme="minorHAnsi" w:cstheme="minorHAnsi"/>
                <w:sz w:val="20"/>
                <w:szCs w:val="20"/>
              </w:rPr>
              <w:t xml:space="preserve"> sprowadzało się będzie do objęcia tych osób obrazem wideo. </w:t>
            </w:r>
          </w:p>
          <w:p w14:paraId="4DA7EB2B" w14:textId="16EC9B3F" w:rsidR="00FA24D1" w:rsidRPr="008A6CC5" w:rsidRDefault="00E303C7" w:rsidP="00E303C7">
            <w:pPr>
              <w:jc w:val="both"/>
              <w:rPr>
                <w:rFonts w:asciiTheme="minorHAnsi" w:hAnsiTheme="minorHAnsi" w:cstheme="minorHAnsi"/>
                <w:sz w:val="20"/>
                <w:szCs w:val="20"/>
              </w:rPr>
            </w:pPr>
            <w:r w:rsidRPr="0091343C">
              <w:rPr>
                <w:rFonts w:asciiTheme="minorHAnsi" w:hAnsiTheme="minorHAnsi" w:cstheme="minorHAnsi"/>
                <w:sz w:val="20"/>
                <w:szCs w:val="20"/>
              </w:rPr>
              <w:t>Obawa przed ewentualnym fałszerstwem nagrań nie wydaje się wystarczającym argumentem do wprowadzenia rozwiązań wykorzystujących nowe technologie, tym bardziej, że rozwiązania te są wprowadzane ostrożnie – jedynie w kontekście testamentu szczególnego</w:t>
            </w:r>
            <w:r>
              <w:rPr>
                <w:rFonts w:asciiTheme="minorHAnsi" w:hAnsiTheme="minorHAnsi" w:cstheme="minorHAnsi"/>
                <w:sz w:val="20"/>
                <w:szCs w:val="20"/>
              </w:rPr>
              <w:t xml:space="preserve">, mogącego zostać sporządzonym w wyjątkowych okolicznościach </w:t>
            </w:r>
            <w:r w:rsidRPr="0091343C">
              <w:rPr>
                <w:rFonts w:asciiTheme="minorHAnsi" w:hAnsiTheme="minorHAnsi" w:cstheme="minorHAnsi"/>
                <w:sz w:val="20"/>
                <w:szCs w:val="20"/>
              </w:rPr>
              <w:t>i jedynie jako jedna z form stwierdzenia treści takiego testamentu.</w:t>
            </w:r>
          </w:p>
        </w:tc>
      </w:tr>
      <w:tr w:rsidR="00CE616F" w:rsidRPr="008A6CC5" w14:paraId="118B1F8E" w14:textId="77777777" w:rsidTr="000E4DE8">
        <w:tc>
          <w:tcPr>
            <w:tcW w:w="562" w:type="dxa"/>
          </w:tcPr>
          <w:p w14:paraId="587C9EB1" w14:textId="786D0E5E" w:rsidR="00CE616F" w:rsidRDefault="00CE616F" w:rsidP="00CE616F">
            <w:pPr>
              <w:spacing w:before="120" w:after="120"/>
              <w:jc w:val="center"/>
              <w:rPr>
                <w:rFonts w:asciiTheme="minorHAnsi" w:hAnsiTheme="minorHAnsi" w:cstheme="minorHAnsi"/>
                <w:b/>
                <w:sz w:val="20"/>
                <w:szCs w:val="20"/>
              </w:rPr>
            </w:pPr>
            <w:r>
              <w:rPr>
                <w:rFonts w:asciiTheme="minorHAnsi" w:hAnsiTheme="minorHAnsi" w:cstheme="minorHAnsi"/>
                <w:b/>
                <w:sz w:val="20"/>
                <w:szCs w:val="20"/>
              </w:rPr>
              <w:lastRenderedPageBreak/>
              <w:t>4</w:t>
            </w:r>
          </w:p>
        </w:tc>
        <w:tc>
          <w:tcPr>
            <w:tcW w:w="1134" w:type="dxa"/>
          </w:tcPr>
          <w:p w14:paraId="3FE0D1FB" w14:textId="3E2E1BE6" w:rsidR="00CE616F" w:rsidRPr="0091343C" w:rsidRDefault="00CE616F" w:rsidP="00CE616F">
            <w:pPr>
              <w:spacing w:before="60" w:after="60"/>
              <w:jc w:val="center"/>
              <w:rPr>
                <w:rFonts w:asciiTheme="minorHAnsi" w:hAnsiTheme="minorHAnsi" w:cstheme="minorHAnsi"/>
                <w:b/>
                <w:sz w:val="20"/>
                <w:szCs w:val="20"/>
              </w:rPr>
            </w:pPr>
            <w:proofErr w:type="spellStart"/>
            <w:r w:rsidRPr="00D42B39">
              <w:rPr>
                <w:rFonts w:asciiTheme="minorHAnsi" w:hAnsiTheme="minorHAnsi" w:cstheme="minorHAnsi"/>
                <w:b/>
                <w:sz w:val="20"/>
                <w:szCs w:val="20"/>
              </w:rPr>
              <w:t>MRPiPS</w:t>
            </w:r>
            <w:proofErr w:type="spellEnd"/>
          </w:p>
        </w:tc>
        <w:tc>
          <w:tcPr>
            <w:tcW w:w="1843" w:type="dxa"/>
          </w:tcPr>
          <w:p w14:paraId="09F11801" w14:textId="77777777" w:rsidR="00CE616F" w:rsidRPr="00D42B39" w:rsidRDefault="00CE616F" w:rsidP="00CE616F">
            <w:pPr>
              <w:jc w:val="center"/>
              <w:rPr>
                <w:rFonts w:asciiTheme="minorHAnsi" w:hAnsiTheme="minorHAnsi" w:cstheme="minorHAnsi"/>
                <w:sz w:val="20"/>
                <w:szCs w:val="20"/>
              </w:rPr>
            </w:pPr>
            <w:r w:rsidRPr="00D42B39">
              <w:rPr>
                <w:rFonts w:asciiTheme="minorHAnsi" w:hAnsiTheme="minorHAnsi" w:cstheme="minorHAnsi"/>
                <w:sz w:val="20"/>
                <w:szCs w:val="20"/>
              </w:rPr>
              <w:t>Art. 1 pkt 8</w:t>
            </w:r>
          </w:p>
          <w:p w14:paraId="0132A2DA" w14:textId="77777777" w:rsidR="00CE616F" w:rsidRPr="00D42B39" w:rsidRDefault="00CE616F" w:rsidP="00CE616F">
            <w:pPr>
              <w:jc w:val="center"/>
              <w:rPr>
                <w:rFonts w:asciiTheme="minorHAnsi" w:hAnsiTheme="minorHAnsi" w:cstheme="minorHAnsi"/>
                <w:sz w:val="20"/>
                <w:szCs w:val="20"/>
              </w:rPr>
            </w:pPr>
            <w:r w:rsidRPr="00D42B39">
              <w:rPr>
                <w:rFonts w:asciiTheme="minorHAnsi" w:hAnsiTheme="minorHAnsi" w:cstheme="minorHAnsi"/>
                <w:sz w:val="20"/>
                <w:szCs w:val="20"/>
              </w:rPr>
              <w:t>projektu (art.</w:t>
            </w:r>
          </w:p>
          <w:p w14:paraId="0E9E396C" w14:textId="77777777" w:rsidR="00CE616F" w:rsidRPr="00D42B39" w:rsidRDefault="00CE616F" w:rsidP="00CE616F">
            <w:pPr>
              <w:jc w:val="center"/>
              <w:rPr>
                <w:rFonts w:asciiTheme="minorHAnsi" w:hAnsiTheme="minorHAnsi" w:cstheme="minorHAnsi"/>
                <w:sz w:val="20"/>
                <w:szCs w:val="20"/>
              </w:rPr>
            </w:pPr>
            <w:r w:rsidRPr="00D42B39">
              <w:rPr>
                <w:rFonts w:asciiTheme="minorHAnsi" w:hAnsiTheme="minorHAnsi" w:cstheme="minorHAnsi"/>
                <w:sz w:val="20"/>
                <w:szCs w:val="20"/>
              </w:rPr>
              <w:t>956 § 2 pkt 2</w:t>
            </w:r>
          </w:p>
          <w:p w14:paraId="2EE45051" w14:textId="670DAEDD" w:rsidR="00CE616F" w:rsidRPr="0091343C" w:rsidRDefault="00CE616F" w:rsidP="00CE616F">
            <w:pPr>
              <w:jc w:val="center"/>
              <w:rPr>
                <w:rFonts w:asciiTheme="minorHAnsi" w:hAnsiTheme="minorHAnsi" w:cstheme="minorHAnsi"/>
                <w:sz w:val="20"/>
                <w:szCs w:val="20"/>
              </w:rPr>
            </w:pPr>
            <w:r w:rsidRPr="00D42B39">
              <w:rPr>
                <w:rFonts w:asciiTheme="minorHAnsi" w:hAnsiTheme="minorHAnsi" w:cstheme="minorHAnsi"/>
                <w:sz w:val="20"/>
                <w:szCs w:val="20"/>
              </w:rPr>
              <w:t>k.c.)</w:t>
            </w:r>
          </w:p>
        </w:tc>
        <w:tc>
          <w:tcPr>
            <w:tcW w:w="4536" w:type="dxa"/>
          </w:tcPr>
          <w:p w14:paraId="07EA0DDE" w14:textId="12FA3655" w:rsidR="00CE616F" w:rsidRPr="0091343C" w:rsidRDefault="00CE616F" w:rsidP="00CE616F">
            <w:pPr>
              <w:jc w:val="both"/>
              <w:rPr>
                <w:rFonts w:asciiTheme="minorHAnsi" w:hAnsiTheme="minorHAnsi" w:cstheme="minorHAnsi"/>
                <w:sz w:val="20"/>
                <w:szCs w:val="20"/>
              </w:rPr>
            </w:pPr>
            <w:r w:rsidRPr="00D42B39">
              <w:rPr>
                <w:rFonts w:asciiTheme="minorHAnsi" w:hAnsiTheme="minorHAnsi" w:cstheme="minorHAnsi"/>
                <w:sz w:val="20"/>
                <w:szCs w:val="20"/>
              </w:rPr>
              <w:t>Przepis wykluczający od bycia świadkiem testamentu osoby, które "nie widzą lub nie słyszą", prowadzi do nieuzasadnionego różnicowania sytuacji osób z niepełnosprawnościami i może być sprzeczny z art. 32 oraz art. 69 Konstytucji RP.</w:t>
            </w:r>
          </w:p>
        </w:tc>
        <w:tc>
          <w:tcPr>
            <w:tcW w:w="2693" w:type="dxa"/>
          </w:tcPr>
          <w:p w14:paraId="3922BA57" w14:textId="2403152D" w:rsidR="00CE616F" w:rsidRPr="008A6CC5" w:rsidRDefault="00CE616F" w:rsidP="00CE616F">
            <w:pPr>
              <w:jc w:val="both"/>
              <w:rPr>
                <w:rFonts w:asciiTheme="minorHAnsi" w:hAnsiTheme="minorHAnsi" w:cstheme="minorHAnsi"/>
                <w:sz w:val="20"/>
                <w:szCs w:val="20"/>
              </w:rPr>
            </w:pPr>
            <w:r w:rsidRPr="00D42B39">
              <w:rPr>
                <w:rFonts w:ascii="Calibri" w:hAnsi="Calibri" w:cs="Calibri"/>
                <w:sz w:val="20"/>
                <w:szCs w:val="20"/>
              </w:rPr>
              <w:t xml:space="preserve">Rozważyć odejście od </w:t>
            </w:r>
            <w:proofErr w:type="spellStart"/>
            <w:r w:rsidRPr="00D42B39">
              <w:rPr>
                <w:rFonts w:ascii="Calibri" w:hAnsi="Calibri" w:cs="Calibri"/>
                <w:sz w:val="20"/>
                <w:szCs w:val="20"/>
              </w:rPr>
              <w:t>wykluczeń</w:t>
            </w:r>
            <w:proofErr w:type="spellEnd"/>
            <w:r w:rsidRPr="00D42B39">
              <w:rPr>
                <w:rFonts w:ascii="Calibri" w:hAnsi="Calibri" w:cs="Calibri"/>
                <w:sz w:val="20"/>
                <w:szCs w:val="20"/>
              </w:rPr>
              <w:t xml:space="preserve"> opartych na brakach sensorycznych i pozostawienie tylko wymogu rozumienia treści oświadczenia woli.</w:t>
            </w:r>
          </w:p>
        </w:tc>
        <w:tc>
          <w:tcPr>
            <w:tcW w:w="4480" w:type="dxa"/>
          </w:tcPr>
          <w:p w14:paraId="2C3738AE" w14:textId="77777777" w:rsidR="00467B26" w:rsidRPr="00D42B39" w:rsidRDefault="00467B26" w:rsidP="00467B26">
            <w:pPr>
              <w:jc w:val="both"/>
              <w:rPr>
                <w:rFonts w:asciiTheme="minorHAnsi" w:hAnsiTheme="minorHAnsi" w:cstheme="minorHAnsi"/>
                <w:sz w:val="20"/>
                <w:szCs w:val="20"/>
              </w:rPr>
            </w:pPr>
            <w:r w:rsidRPr="00D42B39">
              <w:rPr>
                <w:rFonts w:asciiTheme="minorHAnsi" w:hAnsiTheme="minorHAnsi" w:cstheme="minorHAnsi"/>
                <w:sz w:val="20"/>
                <w:szCs w:val="20"/>
              </w:rPr>
              <w:t xml:space="preserve">Projektodawca podtrzymuje swoje poprzednie stanowisko w zakresie zgłoszonej uwagi. </w:t>
            </w:r>
          </w:p>
          <w:p w14:paraId="5D8635D7" w14:textId="77777777" w:rsidR="00467B26" w:rsidRPr="00D42B39" w:rsidRDefault="00467B26" w:rsidP="00467B26">
            <w:pPr>
              <w:jc w:val="both"/>
              <w:rPr>
                <w:rFonts w:asciiTheme="minorHAnsi" w:hAnsiTheme="minorHAnsi" w:cstheme="minorHAnsi"/>
                <w:sz w:val="20"/>
                <w:szCs w:val="20"/>
              </w:rPr>
            </w:pPr>
            <w:r w:rsidRPr="00D42B39">
              <w:rPr>
                <w:rFonts w:asciiTheme="minorHAnsi" w:hAnsiTheme="minorHAnsi" w:cstheme="minorHAnsi"/>
                <w:sz w:val="20"/>
                <w:szCs w:val="20"/>
              </w:rPr>
              <w:t xml:space="preserve">Wobec ponowienia uwagi powtórzenia wymaga, że założeniem zmiany przepisu art. 956 k.c. była chęć doprecyzowania cech osoby, która może być świadkiem testamentu. Jako przesłankę pozytywną wskazano (§ 1), że świadkiem testamentu może być jedynie osoba, w obecności której spadkodawca składa oświadczenie woli i mająca świadomość dokonywanej przez spadkodawcę czynności, to jest rozumiejąca, że oto w danym miejscu i czasie spadkodawca sporządza testament </w:t>
            </w:r>
            <w:r>
              <w:rPr>
                <w:rFonts w:asciiTheme="minorHAnsi" w:hAnsiTheme="minorHAnsi" w:cstheme="minorHAnsi"/>
                <w:sz w:val="20"/>
                <w:szCs w:val="20"/>
              </w:rPr>
              <w:t>oraz</w:t>
            </w:r>
            <w:r w:rsidRPr="00D42B39">
              <w:rPr>
                <w:rFonts w:asciiTheme="minorHAnsi" w:hAnsiTheme="minorHAnsi" w:cstheme="minorHAnsi"/>
                <w:sz w:val="20"/>
                <w:szCs w:val="20"/>
              </w:rPr>
              <w:t xml:space="preserve"> rozumiejąca treść oświadczenia spadkodawcy. Jednocześnie dokonano modyfikacji art. 956 k.c. w kontekście przesłanek negatywnych bycia świadkiem testamentu. </w:t>
            </w:r>
          </w:p>
          <w:p w14:paraId="00CC4FA7" w14:textId="77777777" w:rsidR="00467B26" w:rsidRPr="00D42B39" w:rsidRDefault="00467B26" w:rsidP="00467B26">
            <w:pPr>
              <w:jc w:val="both"/>
              <w:rPr>
                <w:rFonts w:asciiTheme="minorHAnsi" w:hAnsiTheme="minorHAnsi" w:cstheme="minorHAnsi"/>
                <w:bCs/>
                <w:sz w:val="20"/>
                <w:szCs w:val="20"/>
              </w:rPr>
            </w:pPr>
            <w:r w:rsidRPr="00D42B39">
              <w:rPr>
                <w:rFonts w:asciiTheme="minorHAnsi" w:hAnsiTheme="minorHAnsi" w:cstheme="minorHAnsi"/>
                <w:sz w:val="20"/>
                <w:szCs w:val="20"/>
              </w:rPr>
              <w:t xml:space="preserve">Odstąpiono od tego, aby świadkiem testamentu nie mogła być osoba niema, gdyż taka osoba może być w stanie podpisać się pod pismem z oświadczeniem spadkodawcy lub dokonać nagrania jego oświadczenia. Jednocześnie doprecyzowano </w:t>
            </w:r>
            <w:r w:rsidRPr="00D42B39">
              <w:rPr>
                <w:rFonts w:asciiTheme="minorHAnsi" w:hAnsiTheme="minorHAnsi" w:cstheme="minorHAnsi"/>
                <w:sz w:val="20"/>
                <w:szCs w:val="20"/>
              </w:rPr>
              <w:lastRenderedPageBreak/>
              <w:t xml:space="preserve">dotychczasowe sformułowanie art. 956 § 2 pkt 2 k.c., aby podkreślić, że świadkiem testamentu nie może być osoba, która „nie widzi lub nie słyszy”. Pojęcie to jest szerzej zakreślone niż obecne brzmienie przepisu wyłączające od bycia świadkiem osobę „niewidomą lub głuchą” i które to sformułowanie może być uznane za dyskryminujące. Należy wskazać, że rolą świadka </w:t>
            </w:r>
            <w:r w:rsidRPr="00D42B39">
              <w:rPr>
                <w:rFonts w:asciiTheme="minorHAnsi" w:hAnsiTheme="minorHAnsi" w:cstheme="minorHAnsi"/>
                <w:bCs/>
                <w:sz w:val="20"/>
                <w:szCs w:val="20"/>
              </w:rPr>
              <w:t xml:space="preserve">jest zarejestrowanie, a następnie przekazanie i utrwalenie treści oświadczenia woli testatora. Ma to na celu zapewnienie bezpieczeństwa obrotu i spełnia funkcję ochronną wobec testatora. Kategorycznie podkreślić trzeba, że intencją kwestionowanego przepisu nie jest jakiekolwiek wykluczenie pewnych kategorii osób od możliwości bycia świadkiem testamentu, ale szczególna ochrona treści ostatniego oświadczenia woli spadkodawcy. Świadek powinien mieć zdolność zarówno rozumienia oświadczenia woli testatora jak i zdolność odbioru okoliczności towarzyszących złożeniu tego oświadczenia. Pozostawienie samego wymogu rozumienia treści oświadczenia woli jest niewystarczające. </w:t>
            </w:r>
          </w:p>
          <w:p w14:paraId="39186547" w14:textId="77777777" w:rsidR="00467B26" w:rsidRPr="00D42B39" w:rsidRDefault="00467B26" w:rsidP="00467B26">
            <w:pPr>
              <w:jc w:val="both"/>
              <w:rPr>
                <w:rFonts w:asciiTheme="minorHAnsi" w:hAnsiTheme="minorHAnsi" w:cstheme="minorHAnsi"/>
                <w:bCs/>
                <w:sz w:val="20"/>
                <w:szCs w:val="20"/>
              </w:rPr>
            </w:pPr>
            <w:r w:rsidRPr="00D42B39">
              <w:rPr>
                <w:rFonts w:asciiTheme="minorHAnsi" w:hAnsiTheme="minorHAnsi" w:cstheme="minorHAnsi"/>
                <w:bCs/>
                <w:sz w:val="20"/>
                <w:szCs w:val="20"/>
              </w:rPr>
              <w:t>Przykładowo osoba pozbawiona możliwości słyszenia nie będzie mogła usłyszeć jego ustnego oświadczenia, a następnie, przykładowo, potwierdzić w piśmie stwierdzającym tę treść, że określona wola tej treści rzeczywiście została wyrażona. Osoba zaś, która nie widzi, nie będzie mogła np. samodzielnie przeczytać przedstawionego jej pisma z podpisem spadkodawcy. Wyłączenie osoby niewidzącej lub niesłyszącej oświadczenia testatora od bycia świadkiem wynika także stąd, że osoba taka powinna mieć możliwość odtworzenia okoliczności, w których dany testament był sporządzany, a więc np. tego, czy względem osoby testatora nie kierowano gróźb lub innego wpływu ze strony świadków lub osób trzecich. Powinno być tak nawet wówczas, gdy samo oświadczenie spadkodawcy złożone zostanie następnie w obecności świadków i utrwalone za pomocą urządzenia rejestrującego obraz i dźwięk na trwałym nośniku danych.</w:t>
            </w:r>
          </w:p>
          <w:p w14:paraId="04537A65" w14:textId="77777777" w:rsidR="00CE616F" w:rsidRPr="0091343C" w:rsidRDefault="00CE616F" w:rsidP="00CE616F">
            <w:pPr>
              <w:rPr>
                <w:rFonts w:asciiTheme="minorHAnsi" w:hAnsiTheme="minorHAnsi" w:cstheme="minorHAnsi"/>
                <w:b/>
                <w:bCs/>
                <w:sz w:val="20"/>
                <w:szCs w:val="20"/>
              </w:rPr>
            </w:pPr>
          </w:p>
        </w:tc>
      </w:tr>
      <w:tr w:rsidR="0056148A" w:rsidRPr="008A6CC5" w14:paraId="34F92737" w14:textId="77777777" w:rsidTr="000E4DE8">
        <w:tc>
          <w:tcPr>
            <w:tcW w:w="562" w:type="dxa"/>
          </w:tcPr>
          <w:p w14:paraId="5532B816" w14:textId="660874BB" w:rsidR="0056148A" w:rsidRDefault="0056148A" w:rsidP="0056148A">
            <w:pPr>
              <w:spacing w:before="120" w:after="120"/>
              <w:jc w:val="center"/>
              <w:rPr>
                <w:rFonts w:asciiTheme="minorHAnsi" w:hAnsiTheme="minorHAnsi" w:cstheme="minorHAnsi"/>
                <w:b/>
                <w:sz w:val="20"/>
                <w:szCs w:val="20"/>
              </w:rPr>
            </w:pPr>
            <w:r>
              <w:rPr>
                <w:rFonts w:asciiTheme="minorHAnsi" w:hAnsiTheme="minorHAnsi" w:cstheme="minorHAnsi"/>
                <w:b/>
                <w:sz w:val="20"/>
                <w:szCs w:val="20"/>
              </w:rPr>
              <w:lastRenderedPageBreak/>
              <w:t>5</w:t>
            </w:r>
          </w:p>
        </w:tc>
        <w:tc>
          <w:tcPr>
            <w:tcW w:w="1134" w:type="dxa"/>
          </w:tcPr>
          <w:p w14:paraId="15CD11D7" w14:textId="35C92B88" w:rsidR="0056148A" w:rsidRPr="00D42B39" w:rsidRDefault="0056148A" w:rsidP="0056148A">
            <w:pPr>
              <w:spacing w:before="60" w:after="60"/>
              <w:jc w:val="center"/>
              <w:rPr>
                <w:rFonts w:asciiTheme="minorHAnsi" w:hAnsiTheme="minorHAnsi" w:cstheme="minorHAnsi"/>
                <w:b/>
                <w:sz w:val="20"/>
                <w:szCs w:val="20"/>
              </w:rPr>
            </w:pPr>
            <w:r>
              <w:rPr>
                <w:rFonts w:asciiTheme="minorHAnsi" w:hAnsiTheme="minorHAnsi" w:cstheme="minorHAnsi"/>
                <w:b/>
                <w:sz w:val="20"/>
                <w:szCs w:val="20"/>
              </w:rPr>
              <w:t>RCL</w:t>
            </w:r>
          </w:p>
        </w:tc>
        <w:tc>
          <w:tcPr>
            <w:tcW w:w="1843" w:type="dxa"/>
          </w:tcPr>
          <w:p w14:paraId="14643A00" w14:textId="77777777" w:rsidR="0056148A" w:rsidRDefault="0056148A" w:rsidP="0056148A">
            <w:pPr>
              <w:jc w:val="center"/>
              <w:rPr>
                <w:rFonts w:asciiTheme="minorHAnsi" w:hAnsiTheme="minorHAnsi" w:cstheme="minorHAnsi"/>
                <w:sz w:val="20"/>
                <w:szCs w:val="20"/>
              </w:rPr>
            </w:pPr>
            <w:r>
              <w:rPr>
                <w:rFonts w:asciiTheme="minorHAnsi" w:hAnsiTheme="minorHAnsi" w:cstheme="minorHAnsi"/>
                <w:sz w:val="20"/>
                <w:szCs w:val="20"/>
              </w:rPr>
              <w:t>A</w:t>
            </w:r>
            <w:r w:rsidRPr="00A33D46">
              <w:rPr>
                <w:rFonts w:asciiTheme="minorHAnsi" w:hAnsiTheme="minorHAnsi" w:cstheme="minorHAnsi"/>
                <w:sz w:val="20"/>
                <w:szCs w:val="20"/>
              </w:rPr>
              <w:t xml:space="preserve">rt. 1 pkt 5 projektu </w:t>
            </w:r>
            <w:r>
              <w:rPr>
                <w:rFonts w:asciiTheme="minorHAnsi" w:hAnsiTheme="minorHAnsi" w:cstheme="minorHAnsi"/>
                <w:sz w:val="20"/>
                <w:szCs w:val="20"/>
              </w:rPr>
              <w:t>ustawy</w:t>
            </w:r>
          </w:p>
          <w:p w14:paraId="77322385" w14:textId="6411D3B6" w:rsidR="0056148A" w:rsidRPr="00D42B39" w:rsidRDefault="0056148A" w:rsidP="0056148A">
            <w:pPr>
              <w:jc w:val="center"/>
              <w:rPr>
                <w:rFonts w:asciiTheme="minorHAnsi" w:hAnsiTheme="minorHAnsi" w:cstheme="minorHAnsi"/>
                <w:sz w:val="20"/>
                <w:szCs w:val="20"/>
              </w:rPr>
            </w:pPr>
            <w:r>
              <w:rPr>
                <w:rFonts w:asciiTheme="minorHAnsi" w:hAnsiTheme="minorHAnsi" w:cstheme="minorHAnsi"/>
                <w:sz w:val="20"/>
                <w:szCs w:val="20"/>
              </w:rPr>
              <w:t xml:space="preserve">(art. </w:t>
            </w:r>
            <w:r w:rsidRPr="00A33D46">
              <w:rPr>
                <w:rFonts w:asciiTheme="minorHAnsi" w:hAnsiTheme="minorHAnsi" w:cstheme="minorHAnsi"/>
                <w:sz w:val="20"/>
                <w:szCs w:val="20"/>
              </w:rPr>
              <w:t>954</w:t>
            </w:r>
            <w:r w:rsidRPr="00A33D46">
              <w:rPr>
                <w:rFonts w:asciiTheme="minorHAnsi" w:hAnsiTheme="minorHAnsi" w:cstheme="minorHAnsi"/>
                <w:sz w:val="20"/>
                <w:szCs w:val="20"/>
                <w:vertAlign w:val="superscript"/>
              </w:rPr>
              <w:t xml:space="preserve">1 </w:t>
            </w:r>
            <w:r w:rsidRPr="00A33D46">
              <w:rPr>
                <w:rFonts w:asciiTheme="minorHAnsi" w:hAnsiTheme="minorHAnsi" w:cstheme="minorHAnsi"/>
                <w:sz w:val="20"/>
                <w:szCs w:val="20"/>
              </w:rPr>
              <w:t>§ 1</w:t>
            </w:r>
            <w:r>
              <w:rPr>
                <w:rFonts w:asciiTheme="minorHAnsi" w:hAnsiTheme="minorHAnsi" w:cstheme="minorHAnsi"/>
                <w:sz w:val="20"/>
                <w:szCs w:val="20"/>
              </w:rPr>
              <w:t xml:space="preserve"> k.c.)</w:t>
            </w:r>
          </w:p>
        </w:tc>
        <w:tc>
          <w:tcPr>
            <w:tcW w:w="4536" w:type="dxa"/>
          </w:tcPr>
          <w:p w14:paraId="59898AEB" w14:textId="0BCB0E83" w:rsidR="0056148A" w:rsidRPr="00D42B39" w:rsidRDefault="0056148A" w:rsidP="0056148A">
            <w:pPr>
              <w:jc w:val="both"/>
              <w:rPr>
                <w:rFonts w:asciiTheme="minorHAnsi" w:hAnsiTheme="minorHAnsi" w:cstheme="minorHAnsi"/>
                <w:sz w:val="20"/>
                <w:szCs w:val="20"/>
              </w:rPr>
            </w:pPr>
            <w:r w:rsidRPr="00A33D46">
              <w:rPr>
                <w:rFonts w:asciiTheme="minorHAnsi" w:hAnsiTheme="minorHAnsi" w:cstheme="minorHAnsi"/>
                <w:sz w:val="20"/>
                <w:szCs w:val="20"/>
              </w:rPr>
              <w:t>W projekcie, w porównaniu do poprzednio opiniowanej wersji, w art. 954</w:t>
            </w:r>
            <w:r w:rsidRPr="00A33D46">
              <w:rPr>
                <w:rFonts w:asciiTheme="minorHAnsi" w:hAnsiTheme="minorHAnsi" w:cstheme="minorHAnsi"/>
                <w:sz w:val="20"/>
                <w:szCs w:val="20"/>
                <w:vertAlign w:val="superscript"/>
              </w:rPr>
              <w:t xml:space="preserve">1 </w:t>
            </w:r>
            <w:r w:rsidRPr="00A33D46">
              <w:rPr>
                <w:rFonts w:asciiTheme="minorHAnsi" w:hAnsiTheme="minorHAnsi" w:cstheme="minorHAnsi"/>
                <w:sz w:val="20"/>
                <w:szCs w:val="20"/>
              </w:rPr>
              <w:t>§ 1 Kodeksu cywilnego, do katalogu osób, które są uprawnione do sporządzania testamentu wojskowego, dodano „funkcjonariuszy służb specjalnych”. Wyjaśnienia jednak wymaga, czy użycie takiego sformułowania nie będzie wywoływać problemów przy praktycznym stosowaniu ww. przepisu, i czy nie będą występować problemy z ustaleniem, funkcjonariuszom jakich konkretnie służb przysługuje status „funkcjonariusza służby specjalnej”. Jakkolwiek w art. 11 ustawy z dnia 24 maja 2002 o Agencji Bezpieczeństwa Wewnętrznego oraz Agencji Wywiadu wprowadzono definicję pojęcia „służby specjalne” (obejmującą ABW</w:t>
            </w:r>
            <w:r w:rsidRPr="00A33D46">
              <w:rPr>
                <w:rFonts w:asciiTheme="minorHAnsi" w:hAnsiTheme="minorHAnsi" w:cstheme="minorHAnsi"/>
                <w:color w:val="333333"/>
                <w:sz w:val="20"/>
                <w:szCs w:val="20"/>
                <w:shd w:val="clear" w:color="auto" w:fill="FFFFFF"/>
              </w:rPr>
              <w:t>, AW, Służbę Kontrwywiadu Wojskowego, Służbę Wywiadu Wojskowego i Centralne Biuro Antykorupcyjne), to zauważenia wymaga, że definicja ta została wprowadzona jedynie na potrzeby ww. ustawy.</w:t>
            </w:r>
          </w:p>
        </w:tc>
        <w:tc>
          <w:tcPr>
            <w:tcW w:w="2693" w:type="dxa"/>
          </w:tcPr>
          <w:p w14:paraId="0CA33EE7" w14:textId="77777777" w:rsidR="0056148A" w:rsidRPr="00D42B39" w:rsidRDefault="0056148A" w:rsidP="0056148A">
            <w:pPr>
              <w:jc w:val="both"/>
              <w:rPr>
                <w:rFonts w:ascii="Calibri" w:hAnsi="Calibri" w:cs="Calibri"/>
                <w:sz w:val="20"/>
                <w:szCs w:val="20"/>
              </w:rPr>
            </w:pPr>
          </w:p>
        </w:tc>
        <w:tc>
          <w:tcPr>
            <w:tcW w:w="4480" w:type="dxa"/>
          </w:tcPr>
          <w:p w14:paraId="739268D1" w14:textId="63D974E2" w:rsidR="003563CC" w:rsidRPr="00A33D46" w:rsidRDefault="003563CC" w:rsidP="003563CC">
            <w:pPr>
              <w:jc w:val="both"/>
              <w:rPr>
                <w:rFonts w:asciiTheme="minorHAnsi" w:hAnsiTheme="minorHAnsi" w:cstheme="minorHAnsi"/>
                <w:sz w:val="20"/>
                <w:szCs w:val="20"/>
              </w:rPr>
            </w:pPr>
            <w:r w:rsidRPr="00A33D46">
              <w:rPr>
                <w:rFonts w:asciiTheme="minorHAnsi" w:hAnsiTheme="minorHAnsi" w:cstheme="minorHAnsi"/>
                <w:sz w:val="20"/>
                <w:szCs w:val="20"/>
              </w:rPr>
              <w:t xml:space="preserve">Jak wskazano w uzasadnieniu do projektu (s. 20), funkcjonariuszy </w:t>
            </w:r>
            <w:r w:rsidRPr="00A33D46">
              <w:rPr>
                <w:rFonts w:asciiTheme="minorHAnsi" w:hAnsiTheme="minorHAnsi" w:cstheme="minorHAnsi"/>
                <w:i/>
                <w:iCs/>
                <w:sz w:val="20"/>
                <w:szCs w:val="20"/>
              </w:rPr>
              <w:t>służb specjalnych</w:t>
            </w:r>
            <w:r w:rsidRPr="00A33D46">
              <w:rPr>
                <w:rFonts w:asciiTheme="minorHAnsi" w:hAnsiTheme="minorHAnsi" w:cstheme="minorHAnsi"/>
                <w:sz w:val="20"/>
                <w:szCs w:val="20"/>
              </w:rPr>
              <w:t xml:space="preserve"> wyróżniono w przepisie art. 954</w:t>
            </w:r>
            <w:r w:rsidRPr="00A33D46">
              <w:rPr>
                <w:rFonts w:asciiTheme="minorHAnsi" w:hAnsiTheme="minorHAnsi" w:cstheme="minorHAnsi"/>
                <w:sz w:val="20"/>
                <w:szCs w:val="20"/>
                <w:vertAlign w:val="superscript"/>
              </w:rPr>
              <w:t xml:space="preserve">1 </w:t>
            </w:r>
            <w:r w:rsidRPr="00A33D46">
              <w:rPr>
                <w:rFonts w:asciiTheme="minorHAnsi" w:hAnsiTheme="minorHAnsi" w:cstheme="minorHAnsi"/>
                <w:sz w:val="20"/>
                <w:szCs w:val="20"/>
              </w:rPr>
              <w:t xml:space="preserve">§ 1 Kodeksu cywilnego w sposób wyraźny na wniosek Ministra – Koordynatora Służb Specjalnych, który zwrócił uwagę na ich szczególny charakter oraz szeroki zakres i specyfikę spełnianych przez nich funkcji oraz zadań na obszarze objętym działaniami zbrojnymi. Pojęcie to obejmuje funkcjonariuszy </w:t>
            </w:r>
            <w:r w:rsidRPr="00A33D46">
              <w:rPr>
                <w:rFonts w:asciiTheme="minorHAnsi" w:hAnsiTheme="minorHAnsi" w:cstheme="minorHAnsi"/>
                <w:i/>
                <w:iCs/>
                <w:sz w:val="20"/>
                <w:szCs w:val="20"/>
              </w:rPr>
              <w:t>służb specjalnych</w:t>
            </w:r>
            <w:r w:rsidRPr="00A33D46">
              <w:rPr>
                <w:rFonts w:asciiTheme="minorHAnsi" w:hAnsiTheme="minorHAnsi" w:cstheme="minorHAnsi"/>
                <w:sz w:val="20"/>
                <w:szCs w:val="20"/>
              </w:rPr>
              <w:t xml:space="preserve"> wskazanych w treści uwagi RCL, o których jest mowa w art. 11 ustawy z dnia 24 maja 2002 r. o Agencji Bezpieczeństwa Wewnętrznego oraz Agencji Wywiadu (Dz. U. z 2026 r. poz. 937). W ocenie projektodawcy ustawą, która powinna regulować – i reguluje – pojęcie </w:t>
            </w:r>
            <w:r w:rsidRPr="00A33D46">
              <w:rPr>
                <w:rFonts w:asciiTheme="minorHAnsi" w:hAnsiTheme="minorHAnsi" w:cstheme="minorHAnsi"/>
                <w:i/>
                <w:iCs/>
                <w:sz w:val="20"/>
                <w:szCs w:val="20"/>
              </w:rPr>
              <w:t>służb specjalnych</w:t>
            </w:r>
            <w:r w:rsidRPr="00A33D46">
              <w:rPr>
                <w:rFonts w:asciiTheme="minorHAnsi" w:hAnsiTheme="minorHAnsi" w:cstheme="minorHAnsi"/>
                <w:sz w:val="20"/>
                <w:szCs w:val="20"/>
              </w:rPr>
              <w:t xml:space="preserve"> jest akt prawny odnoszący się do ich funkcjonowania (a zatem ww. ustawa), a pojęcie to tak samo należy rozumieć na gruncie innych aktów prawnych (w tym ustawy – Kodeks cywilny), o ile nie wprowadzają odrębnej definicji. W omawianym projekcie nie zachodzi potrzeba odstąpienia od definicji </w:t>
            </w:r>
            <w:r w:rsidRPr="00A33D46">
              <w:rPr>
                <w:rFonts w:asciiTheme="minorHAnsi" w:hAnsiTheme="minorHAnsi" w:cstheme="minorHAnsi"/>
                <w:i/>
                <w:iCs/>
                <w:sz w:val="20"/>
                <w:szCs w:val="20"/>
              </w:rPr>
              <w:t>służb specjalnych</w:t>
            </w:r>
            <w:r w:rsidRPr="00A33D46">
              <w:rPr>
                <w:rFonts w:asciiTheme="minorHAnsi" w:hAnsiTheme="minorHAnsi" w:cstheme="minorHAnsi"/>
                <w:sz w:val="20"/>
                <w:szCs w:val="20"/>
              </w:rPr>
              <w:t xml:space="preserve"> zawartej w ustawie o Agencji (…) – zob. § 148 Rozporządzenia Prezesa Rady Ministrów w sprawie „Zasad techniki prawodawczej” (Dz. U. z 2026 r. poz. 300).  </w:t>
            </w:r>
          </w:p>
          <w:p w14:paraId="6DB0DC1D" w14:textId="52CC0BBE" w:rsidR="0056148A" w:rsidRPr="00D42B39" w:rsidRDefault="003563CC" w:rsidP="003563CC">
            <w:pPr>
              <w:jc w:val="both"/>
              <w:rPr>
                <w:rFonts w:asciiTheme="minorHAnsi" w:hAnsiTheme="minorHAnsi" w:cstheme="minorHAnsi"/>
                <w:sz w:val="20"/>
                <w:szCs w:val="20"/>
              </w:rPr>
            </w:pPr>
            <w:r w:rsidRPr="00A33D46">
              <w:rPr>
                <w:rFonts w:asciiTheme="minorHAnsi" w:hAnsiTheme="minorHAnsi" w:cstheme="minorHAnsi"/>
                <w:sz w:val="20"/>
                <w:szCs w:val="20"/>
              </w:rPr>
              <w:t>Reasumując, uprawnionymi do sporządzenia testamentu wojskowego – w okolicznościach wskazanych w art. 954</w:t>
            </w:r>
            <w:r w:rsidRPr="00A33D46">
              <w:rPr>
                <w:rFonts w:asciiTheme="minorHAnsi" w:hAnsiTheme="minorHAnsi" w:cstheme="minorHAnsi"/>
                <w:sz w:val="20"/>
                <w:szCs w:val="20"/>
                <w:vertAlign w:val="superscript"/>
              </w:rPr>
              <w:t xml:space="preserve">1 </w:t>
            </w:r>
            <w:r w:rsidRPr="00A33D46">
              <w:rPr>
                <w:rFonts w:asciiTheme="minorHAnsi" w:hAnsiTheme="minorHAnsi" w:cstheme="minorHAnsi"/>
                <w:sz w:val="20"/>
                <w:szCs w:val="20"/>
              </w:rPr>
              <w:t xml:space="preserve">§ 1 Kodeksu cywilnego – są funkcjonariusze </w:t>
            </w:r>
            <w:r w:rsidRPr="00A33D46">
              <w:rPr>
                <w:rFonts w:asciiTheme="minorHAnsi" w:hAnsiTheme="minorHAnsi" w:cstheme="minorHAnsi"/>
                <w:i/>
                <w:iCs/>
                <w:sz w:val="20"/>
                <w:szCs w:val="20"/>
              </w:rPr>
              <w:t>służb specjalnych</w:t>
            </w:r>
            <w:r w:rsidRPr="00A33D46">
              <w:rPr>
                <w:rFonts w:asciiTheme="minorHAnsi" w:hAnsiTheme="minorHAnsi" w:cstheme="minorHAnsi"/>
                <w:sz w:val="20"/>
                <w:szCs w:val="20"/>
              </w:rPr>
              <w:t xml:space="preserve"> opisanych w art. 11 ustawy z dnia 24 maja 2002 r. o Agencji Bezpieczeństwa Wewnętrznego oraz Agencji Wywiadu.</w:t>
            </w:r>
          </w:p>
        </w:tc>
      </w:tr>
      <w:tr w:rsidR="009517E9" w:rsidRPr="008A6CC5" w14:paraId="7BB41362" w14:textId="77777777" w:rsidTr="000E4DE8">
        <w:tc>
          <w:tcPr>
            <w:tcW w:w="562" w:type="dxa"/>
          </w:tcPr>
          <w:p w14:paraId="620B71DA" w14:textId="2547F987" w:rsidR="009517E9" w:rsidRDefault="002C64C7" w:rsidP="0056148A">
            <w:pPr>
              <w:spacing w:before="120" w:after="120"/>
              <w:jc w:val="center"/>
              <w:rPr>
                <w:rFonts w:asciiTheme="minorHAnsi" w:hAnsiTheme="minorHAnsi" w:cstheme="minorHAnsi"/>
                <w:b/>
                <w:sz w:val="20"/>
                <w:szCs w:val="20"/>
              </w:rPr>
            </w:pPr>
            <w:r>
              <w:rPr>
                <w:rFonts w:asciiTheme="minorHAnsi" w:hAnsiTheme="minorHAnsi" w:cstheme="minorHAnsi"/>
                <w:b/>
                <w:sz w:val="20"/>
                <w:szCs w:val="20"/>
              </w:rPr>
              <w:t>6</w:t>
            </w:r>
          </w:p>
        </w:tc>
        <w:tc>
          <w:tcPr>
            <w:tcW w:w="1134" w:type="dxa"/>
          </w:tcPr>
          <w:p w14:paraId="6C1B93D5" w14:textId="5A5B6031" w:rsidR="009517E9" w:rsidRPr="009517E9" w:rsidRDefault="009517E9" w:rsidP="0056148A">
            <w:pPr>
              <w:spacing w:before="60" w:after="60"/>
              <w:jc w:val="center"/>
              <w:rPr>
                <w:rFonts w:asciiTheme="minorHAnsi" w:hAnsiTheme="minorHAnsi" w:cstheme="minorHAnsi"/>
                <w:b/>
                <w:sz w:val="20"/>
                <w:szCs w:val="20"/>
              </w:rPr>
            </w:pPr>
            <w:proofErr w:type="spellStart"/>
            <w:r>
              <w:rPr>
                <w:rFonts w:asciiTheme="minorHAnsi" w:hAnsiTheme="minorHAnsi" w:cstheme="minorHAnsi"/>
                <w:b/>
                <w:sz w:val="20"/>
                <w:szCs w:val="20"/>
              </w:rPr>
              <w:t>MFiG</w:t>
            </w:r>
            <w:proofErr w:type="spellEnd"/>
          </w:p>
        </w:tc>
        <w:tc>
          <w:tcPr>
            <w:tcW w:w="1843" w:type="dxa"/>
          </w:tcPr>
          <w:p w14:paraId="790331D6" w14:textId="70661A0C" w:rsidR="009517E9" w:rsidRDefault="0072380F" w:rsidP="0056148A">
            <w:pPr>
              <w:jc w:val="center"/>
              <w:rPr>
                <w:rFonts w:asciiTheme="minorHAnsi" w:hAnsiTheme="minorHAnsi" w:cstheme="minorHAnsi"/>
                <w:sz w:val="20"/>
                <w:szCs w:val="20"/>
              </w:rPr>
            </w:pPr>
            <w:r>
              <w:rPr>
                <w:rFonts w:asciiTheme="minorHAnsi" w:hAnsiTheme="minorHAnsi" w:cstheme="minorHAnsi"/>
                <w:sz w:val="20"/>
                <w:szCs w:val="20"/>
              </w:rPr>
              <w:t>Pkt 6 OSR</w:t>
            </w:r>
          </w:p>
        </w:tc>
        <w:tc>
          <w:tcPr>
            <w:tcW w:w="4536" w:type="dxa"/>
          </w:tcPr>
          <w:p w14:paraId="0A9BC878" w14:textId="0EA7C1AA" w:rsidR="009517E9" w:rsidRPr="00A33D46" w:rsidRDefault="009517E9" w:rsidP="009517E9">
            <w:pPr>
              <w:jc w:val="both"/>
              <w:rPr>
                <w:rFonts w:asciiTheme="minorHAnsi" w:hAnsiTheme="minorHAnsi" w:cstheme="minorHAnsi"/>
                <w:sz w:val="20"/>
                <w:szCs w:val="20"/>
              </w:rPr>
            </w:pPr>
            <w:r w:rsidRPr="009517E9">
              <w:rPr>
                <w:rFonts w:asciiTheme="minorHAnsi" w:hAnsiTheme="minorHAnsi" w:cstheme="minorHAnsi"/>
                <w:sz w:val="20"/>
                <w:szCs w:val="20"/>
              </w:rPr>
              <w:t xml:space="preserve">Jedną ze zmian, która została zaproponowana w przedłożonym projekcie ustawy, jest uchylenie w ustawie – Kodeks cywilny art. 951 (art. 1 pkt 1 projektu ustawy), który to przepis reguluje kwestię testamentów </w:t>
            </w:r>
            <w:proofErr w:type="spellStart"/>
            <w:r w:rsidRPr="009517E9">
              <w:rPr>
                <w:rFonts w:asciiTheme="minorHAnsi" w:hAnsiTheme="minorHAnsi" w:cstheme="minorHAnsi"/>
                <w:sz w:val="20"/>
                <w:szCs w:val="20"/>
              </w:rPr>
              <w:t>allograficznych</w:t>
            </w:r>
            <w:proofErr w:type="spellEnd"/>
            <w:r w:rsidRPr="009517E9">
              <w:rPr>
                <w:rFonts w:asciiTheme="minorHAnsi" w:hAnsiTheme="minorHAnsi" w:cstheme="minorHAnsi"/>
                <w:sz w:val="20"/>
                <w:szCs w:val="20"/>
              </w:rPr>
              <w:t xml:space="preserve"> i co za tym idzie – uchylenie w ustawie o opłacie skarbowej w załączniku w części I pozycji 5 tabeli, w której określono wysokość opłaty skarbowej od tego rodzaju testamentów.</w:t>
            </w:r>
            <w:r>
              <w:rPr>
                <w:rFonts w:asciiTheme="minorHAnsi" w:hAnsiTheme="minorHAnsi" w:cstheme="minorHAnsi"/>
                <w:sz w:val="20"/>
                <w:szCs w:val="20"/>
              </w:rPr>
              <w:t xml:space="preserve"> </w:t>
            </w:r>
            <w:r w:rsidRPr="009517E9">
              <w:rPr>
                <w:rFonts w:asciiTheme="minorHAnsi" w:hAnsiTheme="minorHAnsi" w:cstheme="minorHAnsi"/>
                <w:sz w:val="20"/>
                <w:szCs w:val="20"/>
              </w:rPr>
              <w:t>Jednocześnie w pkt 6 OSR pod tabelą stwierdzono, że projektowana regulacja nie wpływa na sektor finansów publicznych.</w:t>
            </w:r>
            <w:r>
              <w:rPr>
                <w:rFonts w:asciiTheme="minorHAnsi" w:hAnsiTheme="minorHAnsi" w:cstheme="minorHAnsi"/>
                <w:sz w:val="20"/>
                <w:szCs w:val="20"/>
              </w:rPr>
              <w:t xml:space="preserve"> </w:t>
            </w:r>
            <w:r w:rsidRPr="009517E9">
              <w:rPr>
                <w:rFonts w:asciiTheme="minorHAnsi" w:hAnsiTheme="minorHAnsi" w:cstheme="minorHAnsi"/>
                <w:sz w:val="20"/>
                <w:szCs w:val="20"/>
              </w:rPr>
              <w:t xml:space="preserve">Opłata skarbowa jest </w:t>
            </w:r>
            <w:r w:rsidRPr="009517E9">
              <w:rPr>
                <w:rFonts w:asciiTheme="minorHAnsi" w:hAnsiTheme="minorHAnsi" w:cstheme="minorHAnsi"/>
                <w:sz w:val="20"/>
                <w:szCs w:val="20"/>
              </w:rPr>
              <w:lastRenderedPageBreak/>
              <w:t xml:space="preserve">w 100% dochodem budżetów gmin. W związku </w:t>
            </w:r>
            <w:r w:rsidRPr="009517E9">
              <w:rPr>
                <w:rFonts w:asciiTheme="minorHAnsi" w:hAnsiTheme="minorHAnsi" w:cstheme="minorHAnsi"/>
                <w:sz w:val="20"/>
                <w:szCs w:val="20"/>
              </w:rPr>
              <w:br/>
              <w:t>z tym nie jest prawdziwe stwierdzenie, że powyższa regulacja nie oddziałuje na sektor finansów publicznych, niezależnie od faktu, że jak wykazali projektodawcy w pkt 1 OSR, ogólna wysokość tej opłaty w poszczególnych województwach, nie jest znaczna.</w:t>
            </w:r>
          </w:p>
        </w:tc>
        <w:tc>
          <w:tcPr>
            <w:tcW w:w="2693" w:type="dxa"/>
          </w:tcPr>
          <w:p w14:paraId="15666276" w14:textId="6635E624" w:rsidR="009517E9" w:rsidRPr="00D42B39" w:rsidRDefault="00B80ED5" w:rsidP="0056148A">
            <w:pPr>
              <w:jc w:val="both"/>
              <w:rPr>
                <w:rFonts w:ascii="Calibri" w:hAnsi="Calibri" w:cs="Calibri"/>
                <w:sz w:val="20"/>
                <w:szCs w:val="20"/>
              </w:rPr>
            </w:pPr>
            <w:r w:rsidRPr="00B80ED5">
              <w:rPr>
                <w:rFonts w:ascii="Calibri" w:hAnsi="Calibri" w:cs="Calibri"/>
                <w:sz w:val="20"/>
                <w:szCs w:val="20"/>
              </w:rPr>
              <w:lastRenderedPageBreak/>
              <w:t>Korekta OSR we wskazanym zakresie.</w:t>
            </w:r>
          </w:p>
        </w:tc>
        <w:tc>
          <w:tcPr>
            <w:tcW w:w="4480" w:type="dxa"/>
          </w:tcPr>
          <w:p w14:paraId="64A9FDE3" w14:textId="77777777" w:rsidR="00D16C16" w:rsidRDefault="00C962AB" w:rsidP="0072380F">
            <w:pPr>
              <w:jc w:val="both"/>
              <w:rPr>
                <w:rFonts w:asciiTheme="minorHAnsi" w:hAnsiTheme="minorHAnsi" w:cstheme="minorHAnsi"/>
                <w:b/>
                <w:bCs/>
                <w:sz w:val="20"/>
                <w:szCs w:val="20"/>
              </w:rPr>
            </w:pPr>
            <w:r>
              <w:rPr>
                <w:rFonts w:asciiTheme="minorHAnsi" w:hAnsiTheme="minorHAnsi" w:cstheme="minorHAnsi"/>
                <w:b/>
                <w:bCs/>
                <w:sz w:val="20"/>
                <w:szCs w:val="20"/>
              </w:rPr>
              <w:t>Uwaga uwzględniona. Dokonano korekty OSR we wskazanym zakresie.</w:t>
            </w:r>
            <w:r w:rsidR="0072380F">
              <w:rPr>
                <w:rFonts w:asciiTheme="minorHAnsi" w:hAnsiTheme="minorHAnsi" w:cstheme="minorHAnsi"/>
                <w:b/>
                <w:bCs/>
                <w:sz w:val="20"/>
                <w:szCs w:val="20"/>
              </w:rPr>
              <w:t xml:space="preserve"> </w:t>
            </w:r>
          </w:p>
          <w:p w14:paraId="16781462" w14:textId="4D2A7737" w:rsidR="00D16C16" w:rsidRDefault="0072380F" w:rsidP="0072380F">
            <w:pPr>
              <w:jc w:val="both"/>
              <w:rPr>
                <w:rFonts w:asciiTheme="minorHAnsi" w:hAnsiTheme="minorHAnsi" w:cstheme="minorHAnsi"/>
                <w:sz w:val="20"/>
                <w:szCs w:val="20"/>
              </w:rPr>
            </w:pPr>
            <w:r>
              <w:rPr>
                <w:rFonts w:asciiTheme="minorHAnsi" w:hAnsiTheme="minorHAnsi" w:cstheme="minorHAnsi"/>
                <w:sz w:val="20"/>
                <w:szCs w:val="20"/>
              </w:rPr>
              <w:t>Uzupełniono pkt 6 OSR o następujące informacje: „</w:t>
            </w:r>
            <w:r w:rsidRPr="0072380F">
              <w:rPr>
                <w:rFonts w:asciiTheme="minorHAnsi" w:hAnsiTheme="minorHAnsi" w:cstheme="minorHAnsi"/>
                <w:sz w:val="20"/>
                <w:szCs w:val="20"/>
              </w:rPr>
              <w:t xml:space="preserve">Projektowana regulacja wpłynie na dochody gmin poprzez usunięcie z Kodeksu cywilnego formy testamentu </w:t>
            </w:r>
            <w:proofErr w:type="spellStart"/>
            <w:r w:rsidRPr="0072380F">
              <w:rPr>
                <w:rFonts w:asciiTheme="minorHAnsi" w:hAnsiTheme="minorHAnsi" w:cstheme="minorHAnsi"/>
                <w:sz w:val="20"/>
                <w:szCs w:val="20"/>
              </w:rPr>
              <w:t>allograficznego</w:t>
            </w:r>
            <w:proofErr w:type="spellEnd"/>
            <w:r w:rsidRPr="0072380F">
              <w:rPr>
                <w:rFonts w:asciiTheme="minorHAnsi" w:hAnsiTheme="minorHAnsi" w:cstheme="minorHAnsi"/>
                <w:sz w:val="20"/>
                <w:szCs w:val="20"/>
              </w:rPr>
              <w:t xml:space="preserve">, co oznacza również zaprzestanie pobierania opłaty skarbowej za sporządzenie protokołu zawierającego treść tej formy testamentu. W okresie od 1 stycznia 2016 r. do 31 grudnia 2025 r. za sporządzenie protokołu zawierającego treść testamentu </w:t>
            </w:r>
            <w:proofErr w:type="spellStart"/>
            <w:r w:rsidRPr="0072380F">
              <w:rPr>
                <w:rFonts w:asciiTheme="minorHAnsi" w:hAnsiTheme="minorHAnsi" w:cstheme="minorHAnsi"/>
                <w:sz w:val="20"/>
                <w:szCs w:val="20"/>
              </w:rPr>
              <w:t>allograficznego</w:t>
            </w:r>
            <w:proofErr w:type="spellEnd"/>
            <w:r w:rsidRPr="0072380F">
              <w:rPr>
                <w:rFonts w:asciiTheme="minorHAnsi" w:hAnsiTheme="minorHAnsi" w:cstheme="minorHAnsi"/>
                <w:sz w:val="20"/>
                <w:szCs w:val="20"/>
              </w:rPr>
              <w:t xml:space="preserve"> </w:t>
            </w:r>
            <w:r w:rsidRPr="0072380F">
              <w:rPr>
                <w:rFonts w:asciiTheme="minorHAnsi" w:hAnsiTheme="minorHAnsi" w:cstheme="minorHAnsi"/>
                <w:sz w:val="20"/>
                <w:szCs w:val="20"/>
              </w:rPr>
              <w:lastRenderedPageBreak/>
              <w:t>samorządy pobrały opłaty skarbowe w łącznej wysokości około 147</w:t>
            </w:r>
            <w:r w:rsidR="0064605B">
              <w:rPr>
                <w:rFonts w:asciiTheme="minorHAnsi" w:hAnsiTheme="minorHAnsi" w:cstheme="minorHAnsi"/>
                <w:sz w:val="20"/>
                <w:szCs w:val="20"/>
              </w:rPr>
              <w:t> </w:t>
            </w:r>
            <w:r w:rsidRPr="0072380F">
              <w:rPr>
                <w:rFonts w:asciiTheme="minorHAnsi" w:hAnsiTheme="minorHAnsi" w:cstheme="minorHAnsi"/>
                <w:sz w:val="20"/>
                <w:szCs w:val="20"/>
              </w:rPr>
              <w:t>056,50zł.”</w:t>
            </w:r>
          </w:p>
          <w:p w14:paraId="5435F80A" w14:textId="17B2B278" w:rsidR="0072380F" w:rsidRPr="0072380F" w:rsidRDefault="009465A6" w:rsidP="0072380F">
            <w:pPr>
              <w:jc w:val="both"/>
              <w:rPr>
                <w:rFonts w:asciiTheme="minorHAnsi" w:hAnsiTheme="minorHAnsi" w:cstheme="minorHAnsi"/>
                <w:sz w:val="20"/>
                <w:szCs w:val="20"/>
              </w:rPr>
            </w:pPr>
            <w:r>
              <w:rPr>
                <w:rFonts w:asciiTheme="minorHAnsi" w:hAnsiTheme="minorHAnsi" w:cstheme="minorHAnsi"/>
                <w:sz w:val="20"/>
                <w:szCs w:val="20"/>
              </w:rPr>
              <w:t>Oprócz tego w pkt 6 OSR zaktualizowano tabelę: „</w:t>
            </w:r>
            <w:r w:rsidRPr="009465A6">
              <w:rPr>
                <w:rFonts w:asciiTheme="minorHAnsi" w:hAnsiTheme="minorHAnsi" w:cstheme="minorHAnsi"/>
                <w:sz w:val="20"/>
                <w:szCs w:val="20"/>
              </w:rPr>
              <w:t>Skutki w okresie 10 lat od wejścia w życie zmian [mln zł]</w:t>
            </w:r>
            <w:r>
              <w:rPr>
                <w:rFonts w:asciiTheme="minorHAnsi" w:hAnsiTheme="minorHAnsi" w:cstheme="minorHAnsi"/>
                <w:sz w:val="20"/>
                <w:szCs w:val="20"/>
              </w:rPr>
              <w:t xml:space="preserve">”. </w:t>
            </w:r>
          </w:p>
          <w:p w14:paraId="178A7E96" w14:textId="35798CE6" w:rsidR="0072380F" w:rsidRPr="0072380F" w:rsidRDefault="0072380F" w:rsidP="0072380F">
            <w:pPr>
              <w:jc w:val="both"/>
              <w:rPr>
                <w:rFonts w:asciiTheme="minorHAnsi" w:hAnsiTheme="minorHAnsi" w:cstheme="minorHAnsi"/>
                <w:sz w:val="20"/>
                <w:szCs w:val="20"/>
              </w:rPr>
            </w:pPr>
          </w:p>
          <w:p w14:paraId="13DC0B8E" w14:textId="125B03A0" w:rsidR="009517E9" w:rsidRPr="0072380F" w:rsidRDefault="009517E9" w:rsidP="0056148A">
            <w:pPr>
              <w:jc w:val="both"/>
              <w:rPr>
                <w:rFonts w:asciiTheme="minorHAnsi" w:hAnsiTheme="minorHAnsi" w:cstheme="minorHAnsi"/>
                <w:sz w:val="20"/>
                <w:szCs w:val="20"/>
              </w:rPr>
            </w:pPr>
          </w:p>
        </w:tc>
      </w:tr>
    </w:tbl>
    <w:p w14:paraId="79AF4AAC" w14:textId="77777777" w:rsidR="00C64B1B" w:rsidRPr="008A6CC5" w:rsidRDefault="00C64B1B" w:rsidP="007B7338">
      <w:pPr>
        <w:rPr>
          <w:rFonts w:asciiTheme="minorHAnsi" w:hAnsiTheme="minorHAnsi" w:cstheme="minorHAnsi"/>
          <w:sz w:val="20"/>
          <w:szCs w:val="20"/>
        </w:rPr>
      </w:pPr>
    </w:p>
    <w:sectPr w:rsidR="00C64B1B" w:rsidRPr="008A6CC5" w:rsidSect="000248B2">
      <w:pgSz w:w="16838" w:h="11906" w:orient="landscape"/>
      <w:pgMar w:top="567"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97E1" w14:textId="77777777" w:rsidR="006A722A" w:rsidRDefault="006A722A" w:rsidP="000E4DE8">
      <w:r>
        <w:separator/>
      </w:r>
    </w:p>
  </w:endnote>
  <w:endnote w:type="continuationSeparator" w:id="0">
    <w:p w14:paraId="1BCEEBB8" w14:textId="77777777" w:rsidR="006A722A" w:rsidRDefault="006A722A" w:rsidP="000E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735B8" w14:textId="77777777" w:rsidR="006A722A" w:rsidRDefault="006A722A" w:rsidP="000E4DE8">
      <w:r>
        <w:separator/>
      </w:r>
    </w:p>
  </w:footnote>
  <w:footnote w:type="continuationSeparator" w:id="0">
    <w:p w14:paraId="0FEAAD7D" w14:textId="77777777" w:rsidR="006A722A" w:rsidRDefault="006A722A" w:rsidP="000E4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12AC2"/>
    <w:rsid w:val="000248B2"/>
    <w:rsid w:val="00034258"/>
    <w:rsid w:val="00034D16"/>
    <w:rsid w:val="00074C39"/>
    <w:rsid w:val="000D5AD9"/>
    <w:rsid w:val="000E4DE8"/>
    <w:rsid w:val="001068A2"/>
    <w:rsid w:val="00114D77"/>
    <w:rsid w:val="00133E2E"/>
    <w:rsid w:val="00140BE8"/>
    <w:rsid w:val="00154DB3"/>
    <w:rsid w:val="00155D05"/>
    <w:rsid w:val="0019648E"/>
    <w:rsid w:val="001A7953"/>
    <w:rsid w:val="001C7E7B"/>
    <w:rsid w:val="001D4AD2"/>
    <w:rsid w:val="001E1114"/>
    <w:rsid w:val="002165EF"/>
    <w:rsid w:val="00227812"/>
    <w:rsid w:val="00231DEA"/>
    <w:rsid w:val="0023210D"/>
    <w:rsid w:val="00264246"/>
    <w:rsid w:val="00265A15"/>
    <w:rsid w:val="002715B2"/>
    <w:rsid w:val="00282DD7"/>
    <w:rsid w:val="002C64C7"/>
    <w:rsid w:val="002D1986"/>
    <w:rsid w:val="002E5DB7"/>
    <w:rsid w:val="00303AD1"/>
    <w:rsid w:val="003124D1"/>
    <w:rsid w:val="00344CB6"/>
    <w:rsid w:val="003563CC"/>
    <w:rsid w:val="003B4105"/>
    <w:rsid w:val="003C7214"/>
    <w:rsid w:val="00435EED"/>
    <w:rsid w:val="00467B26"/>
    <w:rsid w:val="004777A4"/>
    <w:rsid w:val="00482BE8"/>
    <w:rsid w:val="0049102C"/>
    <w:rsid w:val="00492A50"/>
    <w:rsid w:val="004A3AA1"/>
    <w:rsid w:val="004D086F"/>
    <w:rsid w:val="00501AAF"/>
    <w:rsid w:val="00530910"/>
    <w:rsid w:val="0056148A"/>
    <w:rsid w:val="0057032F"/>
    <w:rsid w:val="00593C78"/>
    <w:rsid w:val="005C057D"/>
    <w:rsid w:val="005F6527"/>
    <w:rsid w:val="00613517"/>
    <w:rsid w:val="0064605B"/>
    <w:rsid w:val="006705EC"/>
    <w:rsid w:val="006A722A"/>
    <w:rsid w:val="006E16E9"/>
    <w:rsid w:val="006F2860"/>
    <w:rsid w:val="00720710"/>
    <w:rsid w:val="0072380F"/>
    <w:rsid w:val="007342B1"/>
    <w:rsid w:val="00740FB8"/>
    <w:rsid w:val="007733F8"/>
    <w:rsid w:val="00777250"/>
    <w:rsid w:val="007B7338"/>
    <w:rsid w:val="007D279D"/>
    <w:rsid w:val="00807385"/>
    <w:rsid w:val="00835F9B"/>
    <w:rsid w:val="00847ECD"/>
    <w:rsid w:val="008A6CC5"/>
    <w:rsid w:val="008C18D5"/>
    <w:rsid w:val="008E268B"/>
    <w:rsid w:val="008F4C42"/>
    <w:rsid w:val="009306AC"/>
    <w:rsid w:val="009357E6"/>
    <w:rsid w:val="00944932"/>
    <w:rsid w:val="009465A6"/>
    <w:rsid w:val="009517E9"/>
    <w:rsid w:val="00982707"/>
    <w:rsid w:val="009911CE"/>
    <w:rsid w:val="009E5FDB"/>
    <w:rsid w:val="00A044DA"/>
    <w:rsid w:val="00A06425"/>
    <w:rsid w:val="00AC3991"/>
    <w:rsid w:val="00AC7796"/>
    <w:rsid w:val="00AC7DF9"/>
    <w:rsid w:val="00AF00EF"/>
    <w:rsid w:val="00AF2E48"/>
    <w:rsid w:val="00AF527B"/>
    <w:rsid w:val="00B35647"/>
    <w:rsid w:val="00B40580"/>
    <w:rsid w:val="00B424EA"/>
    <w:rsid w:val="00B555F7"/>
    <w:rsid w:val="00B67B9E"/>
    <w:rsid w:val="00B717FF"/>
    <w:rsid w:val="00B80ED5"/>
    <w:rsid w:val="00B853BE"/>
    <w:rsid w:val="00B871B6"/>
    <w:rsid w:val="00BB3F69"/>
    <w:rsid w:val="00BD5953"/>
    <w:rsid w:val="00BD6141"/>
    <w:rsid w:val="00BF46AC"/>
    <w:rsid w:val="00C449EE"/>
    <w:rsid w:val="00C64B1B"/>
    <w:rsid w:val="00C7128C"/>
    <w:rsid w:val="00C9296A"/>
    <w:rsid w:val="00C95C99"/>
    <w:rsid w:val="00C962AB"/>
    <w:rsid w:val="00CB2D52"/>
    <w:rsid w:val="00CB49A2"/>
    <w:rsid w:val="00CD4F95"/>
    <w:rsid w:val="00CD5EB0"/>
    <w:rsid w:val="00CE1A14"/>
    <w:rsid w:val="00CE616F"/>
    <w:rsid w:val="00CE65FE"/>
    <w:rsid w:val="00D1001B"/>
    <w:rsid w:val="00D151CE"/>
    <w:rsid w:val="00D16C16"/>
    <w:rsid w:val="00D17A04"/>
    <w:rsid w:val="00D53F04"/>
    <w:rsid w:val="00D54872"/>
    <w:rsid w:val="00D5678D"/>
    <w:rsid w:val="00D8524F"/>
    <w:rsid w:val="00DD3787"/>
    <w:rsid w:val="00E02DE6"/>
    <w:rsid w:val="00E0445A"/>
    <w:rsid w:val="00E11967"/>
    <w:rsid w:val="00E13DA5"/>
    <w:rsid w:val="00E14C33"/>
    <w:rsid w:val="00E1553A"/>
    <w:rsid w:val="00E22B3D"/>
    <w:rsid w:val="00E303C7"/>
    <w:rsid w:val="00E84961"/>
    <w:rsid w:val="00F063C0"/>
    <w:rsid w:val="00F370BF"/>
    <w:rsid w:val="00FA1FB0"/>
    <w:rsid w:val="00FA24D1"/>
    <w:rsid w:val="00FB2ACD"/>
    <w:rsid w:val="00FB75F8"/>
    <w:rsid w:val="00FC5933"/>
    <w:rsid w:val="00FC7780"/>
    <w:rsid w:val="00FE4328"/>
    <w:rsid w:val="00FE58A9"/>
    <w:rsid w:val="00FF40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8E32A"/>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3">
    <w:name w:val="heading 3"/>
    <w:basedOn w:val="Normalny"/>
    <w:next w:val="Normalny"/>
    <w:link w:val="Nagwek3Znak"/>
    <w:unhideWhenUsed/>
    <w:qFormat/>
    <w:rsid w:val="001068A2"/>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customStyle="1" w:styleId="IGindeksgrny">
    <w:name w:val="_IG_ – indeks górny"/>
    <w:basedOn w:val="Domylnaczcionkaakapitu"/>
    <w:uiPriority w:val="2"/>
    <w:qFormat/>
    <w:rsid w:val="00B853BE"/>
    <w:rPr>
      <w:b w:val="0"/>
      <w:bCs w:val="0"/>
      <w:i w:val="0"/>
      <w:iCs w:val="0"/>
      <w:vanish w:val="0"/>
      <w:webHidden w:val="0"/>
      <w:spacing w:val="0"/>
      <w:vertAlign w:val="superscript"/>
      <w:specVanish w:val="0"/>
    </w:rPr>
  </w:style>
  <w:style w:type="character" w:customStyle="1" w:styleId="Nagwek3Znak">
    <w:name w:val="Nagłówek 3 Znak"/>
    <w:basedOn w:val="Domylnaczcionkaakapitu"/>
    <w:link w:val="Nagwek3"/>
    <w:rsid w:val="001068A2"/>
    <w:rPr>
      <w:rFonts w:asciiTheme="majorHAnsi" w:eastAsiaTheme="majorEastAsia" w:hAnsiTheme="majorHAnsi" w:cstheme="majorBidi"/>
      <w:color w:val="1F4D78" w:themeColor="accent1" w:themeShade="7F"/>
      <w:sz w:val="24"/>
      <w:szCs w:val="24"/>
    </w:rPr>
  </w:style>
  <w:style w:type="paragraph" w:styleId="Poprawka">
    <w:name w:val="Revision"/>
    <w:hidden/>
    <w:uiPriority w:val="99"/>
    <w:semiHidden/>
    <w:rsid w:val="00E11967"/>
    <w:rPr>
      <w:sz w:val="24"/>
      <w:szCs w:val="24"/>
    </w:rPr>
  </w:style>
  <w:style w:type="character" w:styleId="Odwoaniedokomentarza">
    <w:name w:val="annotation reference"/>
    <w:basedOn w:val="Domylnaczcionkaakapitu"/>
    <w:rsid w:val="00FE58A9"/>
    <w:rPr>
      <w:sz w:val="16"/>
      <w:szCs w:val="16"/>
    </w:rPr>
  </w:style>
  <w:style w:type="paragraph" w:styleId="Tekstkomentarza">
    <w:name w:val="annotation text"/>
    <w:basedOn w:val="Normalny"/>
    <w:link w:val="TekstkomentarzaZnak"/>
    <w:rsid w:val="00FE58A9"/>
    <w:rPr>
      <w:sz w:val="20"/>
      <w:szCs w:val="20"/>
    </w:rPr>
  </w:style>
  <w:style w:type="character" w:customStyle="1" w:styleId="TekstkomentarzaZnak">
    <w:name w:val="Tekst komentarza Znak"/>
    <w:basedOn w:val="Domylnaczcionkaakapitu"/>
    <w:link w:val="Tekstkomentarza"/>
    <w:rsid w:val="00FE58A9"/>
  </w:style>
  <w:style w:type="paragraph" w:styleId="Tematkomentarza">
    <w:name w:val="annotation subject"/>
    <w:basedOn w:val="Tekstkomentarza"/>
    <w:next w:val="Tekstkomentarza"/>
    <w:link w:val="TematkomentarzaZnak"/>
    <w:semiHidden/>
    <w:unhideWhenUsed/>
    <w:rsid w:val="00FE58A9"/>
    <w:rPr>
      <w:b/>
      <w:bCs/>
    </w:rPr>
  </w:style>
  <w:style w:type="character" w:customStyle="1" w:styleId="TematkomentarzaZnak">
    <w:name w:val="Temat komentarza Znak"/>
    <w:basedOn w:val="TekstkomentarzaZnak"/>
    <w:link w:val="Tematkomentarza"/>
    <w:semiHidden/>
    <w:rsid w:val="00FE58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2E8C1-FE5E-4D57-B48D-7DE8EB24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3053</Words>
  <Characters>18321</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Paszka Łukasz  (DL)</cp:lastModifiedBy>
  <cp:revision>29</cp:revision>
  <dcterms:created xsi:type="dcterms:W3CDTF">2026-07-27T11:29:00Z</dcterms:created>
  <dcterms:modified xsi:type="dcterms:W3CDTF">2026-07-28T11:25:00Z</dcterms:modified>
</cp:coreProperties>
</file>